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简体" w:hAnsi="仿宋" w:eastAsia="方正小标宋简体"/>
          <w:color w:val="auto"/>
          <w:sz w:val="32"/>
          <w:szCs w:val="32"/>
        </w:rPr>
      </w:pPr>
      <w:r>
        <w:rPr>
          <w:rFonts w:hint="eastAsia" w:ascii="方正小标宋简体" w:hAnsi="仿宋" w:eastAsia="方正小标宋简体"/>
          <w:color w:val="auto"/>
          <w:sz w:val="32"/>
          <w:szCs w:val="32"/>
        </w:rPr>
        <w:t>山西省职业院校技能大赛资源转化工作办法</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楷体简体" w:hAnsi="仿宋" w:eastAsia="方正楷体简体"/>
          <w:color w:val="auto"/>
          <w:sz w:val="30"/>
          <w:szCs w:val="30"/>
        </w:rPr>
      </w:pPr>
      <w:r>
        <w:rPr>
          <w:rFonts w:hint="eastAsia" w:ascii="方正楷体简体" w:hAnsi="仿宋" w:eastAsia="方正楷体简体"/>
          <w:color w:val="auto"/>
          <w:sz w:val="30"/>
          <w:szCs w:val="30"/>
        </w:rPr>
        <w:t>（</w:t>
      </w:r>
      <w:r>
        <w:rPr>
          <w:rFonts w:hint="eastAsia" w:ascii="方正楷体简体" w:hAnsi="仿宋" w:eastAsia="方正楷体简体"/>
          <w:color w:val="auto"/>
          <w:sz w:val="30"/>
          <w:szCs w:val="30"/>
          <w:lang w:eastAsia="zh-CN"/>
        </w:rPr>
        <w:t>第</w:t>
      </w:r>
      <w:r>
        <w:rPr>
          <w:rFonts w:hint="eastAsia" w:ascii="方正楷体简体" w:hAnsi="仿宋" w:eastAsia="方正楷体简体"/>
          <w:color w:val="auto"/>
          <w:sz w:val="30"/>
          <w:szCs w:val="30"/>
          <w:lang w:val="en-US" w:eastAsia="zh-CN"/>
        </w:rPr>
        <w:t>2</w:t>
      </w:r>
      <w:r>
        <w:rPr>
          <w:rFonts w:hint="eastAsia" w:ascii="方正楷体简体" w:hAnsi="仿宋" w:eastAsia="方正楷体简体"/>
          <w:color w:val="auto"/>
          <w:sz w:val="30"/>
          <w:szCs w:val="30"/>
        </w:rPr>
        <w:t>稿）</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 xml:space="preserve">    为进一步加强技能大赛对职业教育教学改革与专业发展的引领作用，发挥大赛对高素质技术技能人才培养的促进作用，大赛坚持资源转化与赛项筹办同步设计、协调实施、相互驱动，将竞赛内容转化为教学资源，推动大赛成果在专业教学领域的推广和应用。为做好山西省职业院校技能大赛资源转化工作，特制定本办法。</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黑体" w:hAnsi="黑体" w:eastAsia="黑体"/>
          <w:color w:val="auto"/>
          <w:sz w:val="28"/>
          <w:szCs w:val="28"/>
        </w:rPr>
      </w:pPr>
      <w:r>
        <w:rPr>
          <w:rFonts w:hint="eastAsia" w:ascii="黑体" w:hAnsi="黑体" w:eastAsia="黑体"/>
          <w:color w:val="auto"/>
          <w:sz w:val="28"/>
          <w:szCs w:val="28"/>
        </w:rPr>
        <w:t>一、实施主体</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赛项资源转化工作由赛项执委会（承办院校）负责。各赛项执委会根据本办法和各赛项技能考核特点开展并推进资源转化工作。赛项资源转化方案按要求与赛项规程同时公布；于赛后30日内向大赛组委会办公室提交资源转化实施方案，新赛项赛后三个月内基本完成资源转化工作，特殊赛项原则上不超过半年，老赛项需及时进行资源的补充和完善。</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黑体" w:hAnsi="黑体" w:eastAsia="黑体"/>
          <w:color w:val="auto"/>
          <w:sz w:val="28"/>
          <w:szCs w:val="28"/>
        </w:rPr>
      </w:pPr>
      <w:r>
        <w:rPr>
          <w:rFonts w:hint="eastAsia" w:ascii="黑体" w:hAnsi="黑体" w:eastAsia="黑体"/>
          <w:color w:val="auto"/>
          <w:sz w:val="28"/>
          <w:szCs w:val="28"/>
        </w:rPr>
        <w:t>二、基本要求</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赛项资源转化成果应对接产业发展、符合行业标准，契合生产或工作过程，突出技能特色，展现竞赛优势，形成满足职业教育教学需求、体现先进教学模式、反映职业教育先进水平的共享性资源成果。</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黑体" w:hAnsi="黑体" w:eastAsia="黑体"/>
          <w:color w:val="auto"/>
          <w:sz w:val="28"/>
          <w:szCs w:val="28"/>
        </w:rPr>
      </w:pPr>
      <w:r>
        <w:rPr>
          <w:rFonts w:hint="eastAsia" w:ascii="黑体" w:hAnsi="黑体" w:eastAsia="黑体"/>
          <w:color w:val="auto"/>
          <w:sz w:val="28"/>
          <w:szCs w:val="28"/>
        </w:rPr>
        <w:t>三、成果与形式</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资源转化成果应包含基本资源和拓展资源。</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_GB2312" w:hAnsi="仿宋" w:eastAsia="仿宋_GB2312"/>
          <w:b/>
          <w:color w:val="auto"/>
          <w:sz w:val="28"/>
          <w:szCs w:val="28"/>
        </w:rPr>
      </w:pPr>
      <w:r>
        <w:rPr>
          <w:rFonts w:hint="eastAsia" w:ascii="仿宋_GB2312" w:hAnsi="仿宋" w:eastAsia="仿宋_GB2312"/>
          <w:b/>
          <w:color w:val="auto"/>
          <w:sz w:val="28"/>
          <w:szCs w:val="28"/>
        </w:rPr>
        <w:t>（一）基本资源</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基本资源按照风采展示、技能概要、教学资源三大模块设置。</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1.风采展示。赛后即时制作时长10分钟左右的赛项宣传片，以及时长8分钟左右的获奖代表队（选手）的风采展示片。供专业媒体进行宣传播放。</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2.技能概要。包括技能介绍、技能操作要点、评价指标等。</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3.教学资源。教学资源充分涵盖赛项内容。赛项内容资源可单独列出，也可融入各教学单元。教学资源包括教学方案、训练指导、作业/任务、实验/实训/实习资源等，其呈现形式可以是演示文稿、图片、操作流程演示视频、动画及相关微课程、微资源等。鼓励成熟赛项开发数字化专业教材、技能训练指导书等，并正式出版发行，作为教学工具书。</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_GB2312" w:hAnsi="仿宋" w:eastAsia="仿宋_GB2312"/>
          <w:b/>
          <w:color w:val="auto"/>
          <w:sz w:val="28"/>
          <w:szCs w:val="28"/>
        </w:rPr>
      </w:pPr>
      <w:r>
        <w:rPr>
          <w:rFonts w:hint="eastAsia" w:ascii="仿宋_GB2312" w:hAnsi="仿宋" w:eastAsia="仿宋_GB2312"/>
          <w:b/>
          <w:color w:val="auto"/>
          <w:sz w:val="28"/>
          <w:szCs w:val="28"/>
        </w:rPr>
        <w:t>（二）拓展资源</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拓展资源是指反映技能特色、可应用于各教学与训练环节、支持技能教学和学习过程的较为成熟的多样性辅助资源。加强学校与企业的合作，教学与生产的结合，优化现有教学或实训模式。例如：平垫视频、访谈视频、赛题库、案例库、素材资源库等。</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黑体" w:hAnsi="黑体" w:eastAsia="黑体"/>
          <w:color w:val="auto"/>
          <w:sz w:val="28"/>
          <w:szCs w:val="28"/>
        </w:rPr>
      </w:pPr>
      <w:r>
        <w:rPr>
          <w:rFonts w:hint="eastAsia" w:ascii="黑体" w:hAnsi="黑体" w:eastAsia="黑体"/>
          <w:color w:val="auto"/>
          <w:sz w:val="28"/>
          <w:szCs w:val="28"/>
        </w:rPr>
        <w:t>四、技术标准</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资源转化成果可包含文本文档、演示文稿、视频文件、Flash文件、图形/图像素材和网页型资源等：</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_GB2312" w:hAnsi="仿宋" w:eastAsia="仿宋_GB2312"/>
          <w:b/>
          <w:color w:val="auto"/>
          <w:sz w:val="28"/>
          <w:szCs w:val="28"/>
        </w:rPr>
      </w:pPr>
      <w:r>
        <w:rPr>
          <w:rFonts w:hint="eastAsia" w:ascii="仿宋_GB2312" w:hAnsi="仿宋" w:eastAsia="仿宋_GB2312"/>
          <w:b/>
          <w:color w:val="auto"/>
          <w:sz w:val="28"/>
          <w:szCs w:val="28"/>
        </w:rPr>
        <w:t>（一）文本文档</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采用*.doc或*.docx格式。文件制作所使用的软件版本不低于Microsoft Office 2003。</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_GB2312" w:hAnsi="仿宋" w:eastAsia="仿宋_GB2312"/>
          <w:b/>
          <w:color w:val="auto"/>
          <w:sz w:val="28"/>
          <w:szCs w:val="28"/>
        </w:rPr>
      </w:pPr>
      <w:r>
        <w:rPr>
          <w:rFonts w:hint="eastAsia" w:ascii="仿宋_GB2312" w:hAnsi="仿宋" w:eastAsia="仿宋_GB2312"/>
          <w:b/>
          <w:color w:val="auto"/>
          <w:sz w:val="28"/>
          <w:szCs w:val="28"/>
        </w:rPr>
        <w:t>（二）演示文稿</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采用*.ppt或*.pptx格式。文件制作所使用的软件版本不低于Microsoft Office 2003。播放时不出现宏脚本提示。</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_GB2312" w:hAnsi="仿宋" w:eastAsia="仿宋_GB2312"/>
          <w:b/>
          <w:color w:val="auto"/>
          <w:sz w:val="28"/>
          <w:szCs w:val="28"/>
        </w:rPr>
      </w:pPr>
      <w:r>
        <w:rPr>
          <w:rFonts w:hint="eastAsia" w:ascii="仿宋_GB2312" w:hAnsi="仿宋" w:eastAsia="仿宋_GB2312"/>
          <w:b/>
          <w:color w:val="auto"/>
          <w:sz w:val="28"/>
          <w:szCs w:val="28"/>
        </w:rPr>
        <w:t>（三）视频文件</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采用MP4格式。录像环境光线充足、安静，衣着得体，语言清晰。</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1.视频压缩采用H.264（MPEG-4 Part10：profile=main，level=3.0）编码方式，码流率256Kbps以上，帧率不低于25fps，分辨率不低于720</w:t>
      </w:r>
      <w:r>
        <w:rPr>
          <w:rFonts w:hint="eastAsia" w:ascii="仿宋_GB2312" w:hAnsi="微软雅黑" w:eastAsia="微软雅黑" w:cs="微软雅黑"/>
          <w:color w:val="auto"/>
          <w:sz w:val="28"/>
          <w:szCs w:val="28"/>
        </w:rPr>
        <w:t>◊</w:t>
      </w:r>
      <w:r>
        <w:rPr>
          <w:rFonts w:hint="eastAsia" w:ascii="仿宋_GB2312" w:hAnsi="仿宋" w:eastAsia="仿宋_GB2312"/>
          <w:color w:val="auto"/>
          <w:sz w:val="28"/>
          <w:szCs w:val="28"/>
        </w:rPr>
        <w:t>576（4:3）或1024</w:t>
      </w:r>
      <w:r>
        <w:rPr>
          <w:rFonts w:hint="eastAsia" w:ascii="仿宋_GB2312" w:hAnsi="微软雅黑" w:eastAsia="微软雅黑" w:cs="微软雅黑"/>
          <w:color w:val="auto"/>
          <w:sz w:val="28"/>
          <w:szCs w:val="28"/>
        </w:rPr>
        <w:t>◊</w:t>
      </w:r>
      <w:r>
        <w:rPr>
          <w:rFonts w:hint="eastAsia" w:ascii="仿宋_GB2312" w:hAnsi="仿宋" w:eastAsia="仿宋_GB2312"/>
          <w:color w:val="auto"/>
          <w:sz w:val="28"/>
          <w:szCs w:val="28"/>
        </w:rPr>
        <w:t>576（16:9）。</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2.声音和画面要求同步，无交流声或其他杂音等缺陷，无明显失真，保证优良的声音质量，解说声与现场声、背景音乐无明显比例失调。音频信噪比不低于48dB。</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3.字幕要使用符合国家标准的规范文字，不出现繁体字、异体字、错别字；字幕与画面、解说词、音乐配合适当。</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_GB2312" w:hAnsi="仿宋" w:eastAsia="仿宋_GB2312"/>
          <w:b/>
          <w:color w:val="auto"/>
          <w:sz w:val="28"/>
          <w:szCs w:val="28"/>
        </w:rPr>
      </w:pPr>
      <w:r>
        <w:rPr>
          <w:rFonts w:hint="eastAsia" w:ascii="仿宋_GB2312" w:hAnsi="仿宋" w:eastAsia="仿宋_GB2312"/>
          <w:b/>
          <w:color w:val="auto"/>
          <w:sz w:val="28"/>
          <w:szCs w:val="28"/>
        </w:rPr>
        <w:t>（四）Flash文件</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文件制作所使用的软件版本不低于Flash 6.0。</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_GB2312" w:hAnsi="仿宋" w:eastAsia="仿宋_GB2312"/>
          <w:b/>
          <w:color w:val="auto"/>
          <w:sz w:val="28"/>
          <w:szCs w:val="28"/>
        </w:rPr>
      </w:pPr>
      <w:r>
        <w:rPr>
          <w:rFonts w:hint="eastAsia" w:ascii="仿宋_GB2312" w:hAnsi="仿宋" w:eastAsia="仿宋_GB2312"/>
          <w:b/>
          <w:color w:val="auto"/>
          <w:sz w:val="28"/>
          <w:szCs w:val="28"/>
        </w:rPr>
        <w:t>（五）图形/图像素材</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采用常见存储格式，如*.gif、*.png、*.jpg等。彩色图像颜色数不低于真彩（24位色），灰度图像的灰度级不低于256级，屏幕分辨率不低于1024</w:t>
      </w:r>
      <w:r>
        <w:rPr>
          <w:rFonts w:hint="eastAsia" w:ascii="仿宋_GB2312" w:hAnsi="微软雅黑" w:eastAsia="微软雅黑" w:cs="微软雅黑"/>
          <w:color w:val="auto"/>
          <w:sz w:val="28"/>
          <w:szCs w:val="28"/>
        </w:rPr>
        <w:t>◊</w:t>
      </w:r>
      <w:r>
        <w:rPr>
          <w:rFonts w:hint="eastAsia" w:ascii="仿宋_GB2312" w:hAnsi="仿宋" w:eastAsia="仿宋_GB2312"/>
          <w:color w:val="auto"/>
          <w:sz w:val="28"/>
          <w:szCs w:val="28"/>
        </w:rPr>
        <w:t>768，扫描图像的扫描分辨率不低于72 dpi。</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_GB2312" w:hAnsi="仿宋" w:eastAsia="仿宋_GB2312"/>
          <w:b/>
          <w:color w:val="auto"/>
          <w:sz w:val="28"/>
          <w:szCs w:val="28"/>
        </w:rPr>
      </w:pPr>
      <w:r>
        <w:rPr>
          <w:rFonts w:hint="eastAsia" w:ascii="仿宋_GB2312" w:hAnsi="仿宋" w:eastAsia="仿宋_GB2312"/>
          <w:b/>
          <w:color w:val="auto"/>
          <w:sz w:val="28"/>
          <w:szCs w:val="28"/>
        </w:rPr>
        <w:t>（六）网页型资源</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鼓励采用HTML5编码。兼容Microsoft IE、Google Chrome、Mozilla Firefox浏览器。使用网页编辑工具编辑网页，不可直接将Microsoft Word、WPS等文件内容粘贴到网页文件中。</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黑体" w:hAnsi="黑体" w:eastAsia="黑体"/>
          <w:color w:val="auto"/>
          <w:sz w:val="28"/>
          <w:szCs w:val="28"/>
        </w:rPr>
      </w:pPr>
      <w:r>
        <w:rPr>
          <w:rFonts w:hint="eastAsia" w:ascii="黑体" w:hAnsi="黑体" w:eastAsia="黑体"/>
          <w:color w:val="auto"/>
          <w:sz w:val="28"/>
          <w:szCs w:val="28"/>
        </w:rPr>
        <w:t>五、提交方式</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制作完成的资源经大赛组委会审核后，上传至山西职业教育网：www.sxve.net。</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黑体" w:hAnsi="黑体" w:eastAsia="黑体"/>
          <w:color w:val="auto"/>
          <w:sz w:val="28"/>
          <w:szCs w:val="28"/>
        </w:rPr>
      </w:pPr>
      <w:r>
        <w:rPr>
          <w:rFonts w:hint="eastAsia" w:ascii="黑体" w:hAnsi="黑体" w:eastAsia="黑体"/>
          <w:color w:val="auto"/>
          <w:sz w:val="28"/>
          <w:szCs w:val="28"/>
        </w:rPr>
        <w:t>六、版权归属</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各赛项资源转化成果的版权由大赛组委会和赛项执委会共享。</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黑体" w:hAnsi="黑体" w:eastAsia="黑体"/>
          <w:color w:val="auto"/>
          <w:sz w:val="28"/>
          <w:szCs w:val="28"/>
        </w:rPr>
      </w:pPr>
      <w:r>
        <w:rPr>
          <w:rFonts w:hint="eastAsia" w:ascii="黑体" w:hAnsi="黑体" w:eastAsia="黑体"/>
          <w:color w:val="auto"/>
          <w:sz w:val="28"/>
          <w:szCs w:val="28"/>
        </w:rPr>
        <w:t>七、使用与管理</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成熟的资源转化成果发布于山西省职业教育网等平台。各赛项执委会根据大赛组委会统一要求，加大推广力度，鼓励职业院校师生、企业员工及社会学习者学习使用。各职业院校应积极将大赛内容融入教学过程，强化实践教学，锤炼匠心精神，提升山西省职业院校人才培养工作水平。</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黑体" w:hAnsi="黑体" w:eastAsia="黑体"/>
          <w:color w:val="auto"/>
          <w:sz w:val="28"/>
          <w:szCs w:val="28"/>
        </w:rPr>
      </w:pPr>
      <w:r>
        <w:rPr>
          <w:rFonts w:hint="eastAsia" w:ascii="黑体" w:hAnsi="黑体" w:eastAsia="黑体"/>
          <w:color w:val="auto"/>
          <w:sz w:val="28"/>
          <w:szCs w:val="28"/>
        </w:rPr>
        <w:t>八、奖惩</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各赛项执委会必须及时将成果转化方案上报至大赛组委会办公室，并在规定时间内完成承诺的赛项成果转化任务。大赛组委会将组织有关专家对各赛项资源转化成果进行验收评比，对优秀成果予以表彰；对没有及时完成转化任务或成果转化效果不佳的赛项，责令限期整改；对成果转化存在问题较多、整改不到位的，将取消该承办院校下一年度申报资格。</w:t>
      </w:r>
    </w:p>
    <w:p>
      <w:pPr>
        <w:keepNext w:val="0"/>
        <w:keepLines w:val="0"/>
        <w:pageBreakBefore w:val="0"/>
        <w:widowControl w:val="0"/>
        <w:kinsoku/>
        <w:wordWrap/>
        <w:overflowPunct/>
        <w:topLinePunct w:val="0"/>
        <w:autoSpaceDE/>
        <w:autoSpaceDN/>
        <w:bidi w:val="0"/>
        <w:adjustRightInd/>
        <w:snapToGrid/>
        <w:spacing w:line="480" w:lineRule="exact"/>
        <w:ind w:firstLine="560"/>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附件：大赛资源成果</w:t>
      </w:r>
      <w:bookmarkStart w:id="0" w:name="_GoBack"/>
      <w:bookmarkEnd w:id="0"/>
      <w:r>
        <w:rPr>
          <w:rFonts w:hint="eastAsia" w:ascii="仿宋_GB2312" w:hAnsi="仿宋" w:eastAsia="仿宋_GB2312"/>
          <w:color w:val="auto"/>
          <w:sz w:val="28"/>
          <w:szCs w:val="28"/>
        </w:rPr>
        <w:t>转化方案</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_GB2312" w:hAnsi="仿宋" w:eastAsia="仿宋_GB2312"/>
          <w:color w:val="auto"/>
          <w:sz w:val="28"/>
          <w:szCs w:val="28"/>
        </w:rPr>
      </w:pP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 w:eastAsia="仿宋_GB2312"/>
          <w:color w:val="auto"/>
          <w:sz w:val="28"/>
          <w:szCs w:val="28"/>
        </w:rPr>
      </w:pP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 w:eastAsia="仿宋_GB2312"/>
          <w:color w:val="auto"/>
          <w:sz w:val="28"/>
          <w:szCs w:val="28"/>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附件</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大赛资源成果转化方案</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赛项名称：</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服务专业：</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承办单位：</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专家组长：</w:t>
      </w:r>
    </w:p>
    <w:tbl>
      <w:tblPr>
        <w:tblStyle w:val="5"/>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851"/>
        <w:gridCol w:w="2142"/>
        <w:gridCol w:w="1185"/>
        <w:gridCol w:w="1185"/>
        <w:gridCol w:w="1185"/>
        <w:gridCol w:w="11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3" w:hRule="atLeast"/>
        </w:trPr>
        <w:tc>
          <w:tcPr>
            <w:tcW w:w="3555" w:type="dxa"/>
            <w:gridSpan w:val="3"/>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资源名称</w:t>
            </w: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表现形式</w:t>
            </w: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资源数量</w:t>
            </w: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资源要求</w:t>
            </w:r>
          </w:p>
        </w:tc>
        <w:tc>
          <w:tcPr>
            <w:tcW w:w="1186"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vMerge w:val="restart"/>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基本资源</w:t>
            </w:r>
          </w:p>
        </w:tc>
        <w:tc>
          <w:tcPr>
            <w:tcW w:w="851" w:type="dxa"/>
            <w:vMerge w:val="restart"/>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风采展示</w:t>
            </w:r>
          </w:p>
        </w:tc>
        <w:tc>
          <w:tcPr>
            <w:tcW w:w="2142"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赛项宣传片</w:t>
            </w: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视频</w:t>
            </w: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15分钟以上</w:t>
            </w:r>
          </w:p>
        </w:tc>
        <w:tc>
          <w:tcPr>
            <w:tcW w:w="1186"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851"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2142"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风采展示片</w:t>
            </w: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视频</w:t>
            </w: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10分钟以上</w:t>
            </w:r>
          </w:p>
        </w:tc>
        <w:tc>
          <w:tcPr>
            <w:tcW w:w="1186"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851" w:type="dxa"/>
            <w:vMerge w:val="restart"/>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技能概要</w:t>
            </w:r>
          </w:p>
        </w:tc>
        <w:tc>
          <w:tcPr>
            <w:tcW w:w="2142"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技能介绍</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技能要点</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评价指标</w:t>
            </w: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6"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851"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2142"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w:t>
            </w: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6"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851" w:type="dxa"/>
            <w:vMerge w:val="restart"/>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教学资源</w:t>
            </w:r>
          </w:p>
        </w:tc>
        <w:tc>
          <w:tcPr>
            <w:tcW w:w="2142"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专业教材</w:t>
            </w: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电子教材</w:t>
            </w:r>
          </w:p>
        </w:tc>
        <w:tc>
          <w:tcPr>
            <w:tcW w:w="1186"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851"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2142"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技能训练指导书</w:t>
            </w: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电子教材</w:t>
            </w:r>
          </w:p>
        </w:tc>
        <w:tc>
          <w:tcPr>
            <w:tcW w:w="1186"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851"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2142"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大赛作品集</w:t>
            </w: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6"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851"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2142"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技能操作规程</w:t>
            </w: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6"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851"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2142"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w:t>
            </w: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6"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vMerge w:val="restart"/>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拓展资源</w:t>
            </w:r>
          </w:p>
        </w:tc>
        <w:tc>
          <w:tcPr>
            <w:tcW w:w="2993" w:type="dxa"/>
            <w:gridSpan w:val="2"/>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案例库</w:t>
            </w: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6"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2993" w:type="dxa"/>
            <w:gridSpan w:val="2"/>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素材资源库</w:t>
            </w: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6"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2993" w:type="dxa"/>
            <w:gridSpan w:val="2"/>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赛题库</w:t>
            </w: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6"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2993" w:type="dxa"/>
            <w:gridSpan w:val="2"/>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衍生成果</w:t>
            </w: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6"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2993" w:type="dxa"/>
            <w:gridSpan w:val="2"/>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优秀选手访谈</w:t>
            </w: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6"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vMerge w:val="continue"/>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2993" w:type="dxa"/>
            <w:gridSpan w:val="2"/>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r>
              <w:rPr>
                <w:rFonts w:hint="eastAsia" w:ascii="宋体" w:hAnsi="宋体" w:eastAsia="宋体"/>
                <w:color w:val="auto"/>
                <w:sz w:val="28"/>
                <w:szCs w:val="28"/>
              </w:rPr>
              <w:t>……</w:t>
            </w: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c>
          <w:tcPr>
            <w:tcW w:w="1186" w:type="dxa"/>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olor w:val="auto"/>
                <w:sz w:val="28"/>
                <w:szCs w:val="28"/>
              </w:rPr>
            </w:pPr>
          </w:p>
        </w:tc>
      </w:tr>
    </w:tbl>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注：1.衍生成果：是指基于本赛项而申报的专利、软件制作权等。</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2.表现形式包含文本文档、演示文稿、视频文件、Flash文件、图形/图像素材和网页型资源。</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 w:eastAsia="仿宋_GB2312"/>
          <w:color w:val="auto"/>
          <w:sz w:val="28"/>
          <w:szCs w:val="28"/>
        </w:rPr>
      </w:pPr>
      <w:r>
        <w:rPr>
          <w:rFonts w:hint="eastAsia" w:ascii="仿宋_GB2312" w:hAnsi="仿宋" w:eastAsia="仿宋_GB2312"/>
          <w:color w:val="auto"/>
          <w:sz w:val="28"/>
          <w:szCs w:val="28"/>
        </w:rPr>
        <w:t>3.风采展示。技能概要为必须完成项。其它可以根据各赛项不同自行确定转化项目。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简体">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C14CD"/>
    <w:rsid w:val="00031C14"/>
    <w:rsid w:val="002B7A21"/>
    <w:rsid w:val="00431592"/>
    <w:rsid w:val="00734690"/>
    <w:rsid w:val="009B2A17"/>
    <w:rsid w:val="00BE5C78"/>
    <w:rsid w:val="00C766DD"/>
    <w:rsid w:val="00D9305A"/>
    <w:rsid w:val="00DE07B7"/>
    <w:rsid w:val="00E5735E"/>
    <w:rsid w:val="00EC14CD"/>
    <w:rsid w:val="00F31CE3"/>
    <w:rsid w:val="00FD7CB6"/>
    <w:rsid w:val="11343672"/>
    <w:rsid w:val="1D260A5E"/>
    <w:rsid w:val="69701EB3"/>
    <w:rsid w:val="6B9765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character" w:styleId="3">
    <w:name w:val="Hyperlink"/>
    <w:basedOn w:val="2"/>
    <w:unhideWhenUsed/>
    <w:qFormat/>
    <w:uiPriority w:val="99"/>
    <w:rPr>
      <w:color w:val="0563C1" w:themeColor="hyperlink"/>
      <w:u w:val="single"/>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6">
    <w:name w:val="List Paragraph"/>
    <w:basedOn w:val="1"/>
    <w:qFormat/>
    <w:uiPriority w:val="34"/>
    <w:pPr>
      <w:ind w:firstLine="420" w:firstLineChars="200"/>
    </w:pPr>
  </w:style>
  <w:style w:type="character" w:customStyle="1" w:styleId="7">
    <w:name w:val="Unresolved Mention"/>
    <w:basedOn w:val="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0E2C4"/>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C6119F-9466-4167-AA35-DB8AD1495FE8}">
  <ds:schemaRefs/>
</ds:datastoreItem>
</file>

<file path=docProps/app.xml><?xml version="1.0" encoding="utf-8"?>
<Properties xmlns="http://schemas.openxmlformats.org/officeDocument/2006/extended-properties" xmlns:vt="http://schemas.openxmlformats.org/officeDocument/2006/docPropsVTypes">
  <Template>Normal</Template>
  <Pages>6</Pages>
  <Words>360</Words>
  <Characters>2057</Characters>
  <Lines>17</Lines>
  <Paragraphs>4</Paragraphs>
  <TotalTime>20</TotalTime>
  <ScaleCrop>false</ScaleCrop>
  <LinksUpToDate>false</LinksUpToDate>
  <CharactersWithSpaces>2413</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2018-12-10T14:37:00Z</dcterms:created>
  <dc:creator>晨睿 聂</dc:creator>
  <cp:lastModifiedBy>贾琪华</cp:lastModifiedBy>
  <cp:lastPrinted>2019-01-24T04:01:19Z</cp:lastPrinted>
  <dcterms:modified xsi:type="dcterms:W3CDTF">2019-01-24T04:01:42Z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