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</w:p>
    <w:p>
      <w:pPr>
        <w:spacing w:line="820" w:lineRule="exact"/>
        <w:jc w:val="center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</w:rPr>
        <w:t>山西省职业院校技能大赛</w:t>
      </w: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spacing w:before="17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ind w:left="481" w:right="480"/>
        <w:jc w:val="center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  <w:bookmarkStart w:id="0" w:name="_bookmark18"/>
      <w:bookmarkEnd w:id="0"/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</w:rPr>
        <w:t>专家工作手册</w:t>
      </w: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pStyle w:val="2"/>
        <w:spacing w:before="13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</w:p>
    <w:p>
      <w:pPr>
        <w:spacing w:before="1"/>
        <w:ind w:left="481" w:right="484"/>
        <w:jc w:val="center"/>
        <w:rPr>
          <w:rFonts w:ascii="方正小标宋简体" w:hAnsi="方正小标宋简体" w:eastAsia="方正小标宋简体" w:cs="方正小标宋简体"/>
          <w:b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36"/>
          <w:szCs w:val="36"/>
        </w:rPr>
        <w:t>山西省职业院校技能大赛组委会办公室</w:t>
      </w:r>
    </w:p>
    <w:p>
      <w:pPr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  <w:sectPr>
          <w:footerReference r:id="rId3" w:type="default"/>
          <w:pgSz w:w="11910" w:h="16840"/>
          <w:pgMar w:top="1580" w:right="1460" w:bottom="1080" w:left="1460" w:header="0" w:footer="894" w:gutter="0"/>
          <w:cols w:space="720" w:num="1"/>
        </w:sectPr>
      </w:pPr>
    </w:p>
    <w:p>
      <w:pPr>
        <w:pStyle w:val="13"/>
        <w:spacing w:line="487" w:lineRule="exact"/>
        <w:ind w:left="338"/>
        <w:rPr>
          <w:rFonts w:asciiTheme="majorEastAsia" w:hAnsiTheme="majorEastAsia" w:eastAsiaTheme="majorEastAsia" w:cstheme="majorEastAsia"/>
          <w:color w:val="auto"/>
        </w:rPr>
      </w:pPr>
      <w:r>
        <w:rPr>
          <w:rFonts w:hint="eastAsia" w:asciiTheme="majorEastAsia" w:hAnsiTheme="majorEastAsia" w:eastAsiaTheme="majorEastAsia" w:cstheme="majorEastAsia"/>
          <w:color w:val="auto"/>
        </w:rPr>
        <w:t>专家工作有关信息，请用正楷填写。</w:t>
      </w:r>
    </w:p>
    <w:p>
      <w:pPr>
        <w:pStyle w:val="2"/>
        <w:spacing w:before="3"/>
        <w:rPr>
          <w:rFonts w:asciiTheme="majorEastAsia" w:hAnsiTheme="majorEastAsia" w:eastAsiaTheme="majorEastAsia" w:cstheme="majorEastAsia"/>
          <w:b/>
          <w:color w:val="auto"/>
        </w:rPr>
      </w:pPr>
    </w:p>
    <w:p>
      <w:pPr>
        <w:tabs>
          <w:tab w:val="left" w:pos="7621"/>
        </w:tabs>
        <w:spacing w:line="235" w:lineRule="auto"/>
        <w:ind w:right="1362"/>
        <w:jc w:val="both"/>
        <w:rPr>
          <w:rFonts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</w:pPr>
    </w:p>
    <w:p>
      <w:pPr>
        <w:tabs>
          <w:tab w:val="left" w:pos="7621"/>
        </w:tabs>
        <w:spacing w:line="235" w:lineRule="auto"/>
        <w:ind w:left="1226" w:right="1362"/>
        <w:jc w:val="left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赛项名称：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赛项编号：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比赛时间：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比赛地点：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参赛队数量：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专家组组长：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专家组组长电话：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</w:rPr>
        <w:t>本人姓名与电话：</w:t>
      </w:r>
      <w:r>
        <w:rPr>
          <w:rFonts w:hint="eastAsia" w:asciiTheme="majorEastAsia" w:hAnsiTheme="majorEastAsia" w:eastAsiaTheme="majorEastAsia" w:cstheme="majorEastAsia"/>
          <w:b/>
          <w:color w:val="auto"/>
          <w:sz w:val="30"/>
          <w:szCs w:val="30"/>
          <w:u w:val="single"/>
        </w:rPr>
        <w:tab/>
      </w:r>
    </w:p>
    <w:p>
      <w:pPr>
        <w:pStyle w:val="13"/>
        <w:spacing w:line="487" w:lineRule="exact"/>
        <w:ind w:left="3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sz w:val="28"/>
          <w:szCs w:val="28"/>
        </w:rPr>
        <w:pict>
          <v:shape id="_x0000_s2086" o:spid="_x0000_s2086" o:spt="202" type="#_x0000_t202" style="position:absolute;left:0pt;margin-left:84.25pt;margin-top:24.7pt;height:207.8pt;width:420.2pt;mso-position-horizontal-relative:page;z-index: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8389" w:type="dxa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78"/>
                    <w:gridCol w:w="4311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spacing w:line="292" w:lineRule="exact"/>
                          <w:ind w:left="1779" w:right="1768"/>
                          <w:jc w:val="center"/>
                          <w:rPr>
                            <w:rFonts w:ascii="黑体" w:hAnsi="黑体" w:eastAsia="黑体" w:cs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sz w:val="24"/>
                          </w:rPr>
                          <w:t>姓名</w:t>
                        </w: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spacing w:line="292" w:lineRule="exact"/>
                          <w:ind w:left="1652" w:right="1648"/>
                          <w:jc w:val="center"/>
                          <w:rPr>
                            <w:rFonts w:ascii="黑体" w:hAnsi="黑体" w:eastAsia="黑体" w:cs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sz w:val="24"/>
                          </w:rPr>
                          <w:t>联系电话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2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9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0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1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7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4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7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4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05" w:hRule="atLeast"/>
                    </w:trPr>
                    <w:tc>
                      <w:tcPr>
                        <w:tcW w:w="4078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4311" w:type="dxa"/>
                      </w:tcPr>
                      <w:p>
                        <w:pPr>
                          <w:pStyle w:val="15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相关成员</w:t>
      </w:r>
    </w:p>
    <w:p>
      <w:pPr>
        <w:pStyle w:val="13"/>
        <w:spacing w:line="487" w:lineRule="exact"/>
        <w:ind w:left="338"/>
        <w:rPr>
          <w:rFonts w:ascii="仿宋_GB2312" w:hAnsi="仿宋_GB2312" w:eastAsia="仿宋_GB2312" w:cs="仿宋_GB2312"/>
          <w:color w:val="auto"/>
          <w:sz w:val="28"/>
          <w:szCs w:val="28"/>
        </w:rPr>
        <w:sectPr>
          <w:pgSz w:w="11910" w:h="16840"/>
          <w:pgMar w:top="1520" w:right="1460" w:bottom="1160" w:left="1460" w:header="0" w:footer="894" w:gutter="0"/>
          <w:cols w:space="720" w:num="1"/>
        </w:sectPr>
      </w:pPr>
    </w:p>
    <w:p>
      <w:pPr>
        <w:spacing w:line="523" w:lineRule="exact"/>
        <w:ind w:left="938"/>
        <w:rPr>
          <w:rFonts w:ascii="黑体" w:hAnsi="黑体" w:eastAsia="黑体" w:cs="黑体"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Cs/>
          <w:color w:val="auto"/>
          <w:sz w:val="28"/>
          <w:szCs w:val="28"/>
        </w:rPr>
        <w:t>一、 工作总则</w:t>
      </w:r>
    </w:p>
    <w:p>
      <w:pPr>
        <w:pStyle w:val="2"/>
        <w:spacing w:before="106" w:line="350" w:lineRule="auto"/>
        <w:ind w:left="338" w:right="335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.山西省职业院校技能大赛以赛项为单位设立专家工作组。专家工作组由赛项执委会聘任，在赛项执委会领导下开展工作。</w:t>
      </w:r>
    </w:p>
    <w:p>
      <w:pPr>
        <w:pStyle w:val="2"/>
        <w:spacing w:line="350" w:lineRule="auto"/>
        <w:ind w:left="338" w:right="246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.专家工作组应充分领会大赛“以赛促学、以赛促教、以赛促改”的办赛目的，以大赛制度为指导，以产教融合为支撑，以赛项优化设计为着力点，切实发挥大赛检验职业教育教学成果、引领专业建设与教育改革的重要作用。</w:t>
      </w:r>
    </w:p>
    <w:p>
      <w:pPr>
        <w:pStyle w:val="2"/>
        <w:spacing w:line="350" w:lineRule="auto"/>
        <w:ind w:left="338" w:right="332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-6"/>
          <w:sz w:val="28"/>
          <w:szCs w:val="28"/>
        </w:rPr>
        <w:t>.专家工作组成员来自院校、企业、行业等不同领域，原则</w:t>
      </w:r>
      <w:r>
        <w:rPr>
          <w:rFonts w:hint="eastAsia" w:ascii="仿宋_GB2312" w:hAnsi="仿宋_GB2312" w:eastAsia="仿宋_GB2312" w:cs="仿宋_GB2312"/>
          <w:color w:val="auto"/>
          <w:spacing w:val="-14"/>
          <w:sz w:val="28"/>
          <w:szCs w:val="28"/>
        </w:rPr>
        <w:t xml:space="preserve">上不超过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7</w:t>
      </w:r>
      <w:r>
        <w:rPr>
          <w:rFonts w:hint="eastAsia" w:ascii="仿宋_GB2312" w:hAnsi="仿宋_GB2312" w:eastAsia="仿宋_GB2312" w:cs="仿宋_GB2312"/>
          <w:color w:val="auto"/>
          <w:spacing w:val="-7"/>
          <w:sz w:val="28"/>
          <w:szCs w:val="28"/>
        </w:rPr>
        <w:t>人，协作完成赛项设计、赛题设计、裁判培训、赛项点评、资源转化等技术性工作。</w:t>
      </w:r>
    </w:p>
    <w:p>
      <w:pPr>
        <w:spacing w:line="523" w:lineRule="exact"/>
        <w:ind w:left="938"/>
        <w:rPr>
          <w:rFonts w:ascii="黑体" w:hAnsi="黑体" w:eastAsia="黑体" w:cs="黑体"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Cs/>
          <w:color w:val="auto"/>
          <w:sz w:val="28"/>
          <w:szCs w:val="28"/>
          <w:lang w:val="en-US" w:bidi="ar-SA"/>
        </w:rPr>
        <w:drawing>
          <wp:anchor distT="0" distB="0" distL="0" distR="0" simplePos="0" relativeHeight="251636736" behindDoc="0" locked="0" layoutInCell="1" allowOverlap="1">
            <wp:simplePos x="0" y="0"/>
            <wp:positionH relativeFrom="page">
              <wp:posOffset>1292860</wp:posOffset>
            </wp:positionH>
            <wp:positionV relativeFrom="paragraph">
              <wp:posOffset>271780</wp:posOffset>
            </wp:positionV>
            <wp:extent cx="4933950" cy="4305300"/>
            <wp:effectExtent l="0" t="0" r="0" b="0"/>
            <wp:wrapNone/>
            <wp:docPr id="1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auto"/>
          <w:sz w:val="28"/>
          <w:szCs w:val="28"/>
        </w:rPr>
        <w:t>二、 工作流程</w:t>
      </w:r>
    </w:p>
    <w:p>
      <w:pPr>
        <w:spacing w:line="523" w:lineRule="exact"/>
        <w:ind w:left="938"/>
        <w:rPr>
          <w:rFonts w:ascii="黑体" w:hAnsi="黑体" w:eastAsia="黑体" w:cs="黑体"/>
          <w:bCs/>
          <w:color w:val="auto"/>
          <w:sz w:val="28"/>
          <w:szCs w:val="28"/>
        </w:rPr>
        <w:sectPr>
          <w:pgSz w:w="11910" w:h="16840"/>
          <w:pgMar w:top="1500" w:right="1460" w:bottom="1160" w:left="1460" w:header="0" w:footer="894" w:gutter="0"/>
          <w:cols w:space="720" w:num="1"/>
        </w:sectPr>
      </w:pPr>
    </w:p>
    <w:p>
      <w:pPr>
        <w:spacing w:line="523" w:lineRule="exact"/>
        <w:ind w:left="938"/>
        <w:rPr>
          <w:rFonts w:ascii="黑体" w:hAnsi="黑体" w:eastAsia="黑体" w:cs="黑体"/>
          <w:bCs/>
          <w:color w:val="auto"/>
          <w:sz w:val="28"/>
          <w:szCs w:val="28"/>
        </w:rPr>
      </w:pPr>
      <w:r>
        <w:rPr>
          <w:rFonts w:hint="eastAsia" w:ascii="黑体" w:hAnsi="黑体" w:eastAsia="黑体" w:cs="黑体"/>
          <w:bCs/>
          <w:color w:val="auto"/>
          <w:sz w:val="28"/>
          <w:szCs w:val="28"/>
        </w:rPr>
        <w:t>三、 工作内容</w:t>
      </w:r>
    </w:p>
    <w:p>
      <w:pPr>
        <w:pStyle w:val="2"/>
        <w:spacing w:before="177"/>
        <w:ind w:left="338"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专家工作组的工作按赛前、赛中、赛后三个阶段主要可分为10 个工作模块。</w:t>
      </w:r>
    </w:p>
    <w:p>
      <w:pPr>
        <w:pStyle w:val="2"/>
        <w:spacing w:before="175"/>
        <w:ind w:left="938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（一）赛前阶段</w:t>
      </w:r>
    </w:p>
    <w:p>
      <w:pPr>
        <w:pStyle w:val="2"/>
        <w:spacing w:before="175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赛项规程编制</w:t>
      </w:r>
    </w:p>
    <w:p>
      <w:pPr>
        <w:pStyle w:val="2"/>
        <w:spacing w:before="177" w:line="350" w:lineRule="auto"/>
        <w:ind w:left="338" w:right="332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9"/>
          <w:sz w:val="28"/>
          <w:szCs w:val="28"/>
        </w:rPr>
        <w:t>各赛项专家工作组根据《山西省职业院校技能大赛赛项规程编</w:t>
      </w:r>
      <w:r>
        <w:rPr>
          <w:rFonts w:hint="eastAsia" w:ascii="仿宋_GB2312" w:hAnsi="仿宋_GB2312" w:eastAsia="仿宋_GB2312" w:cs="仿宋_GB2312"/>
          <w:color w:val="auto"/>
          <w:spacing w:val="-14"/>
          <w:sz w:val="28"/>
          <w:szCs w:val="28"/>
        </w:rPr>
        <w:t>制要求》，立足于公开、公平和公正的办赛原则，以赛项方案申</w:t>
      </w:r>
      <w:r>
        <w:rPr>
          <w:rFonts w:hint="eastAsia" w:ascii="仿宋_GB2312" w:hAnsi="仿宋_GB2312" w:eastAsia="仿宋_GB2312" w:cs="仿宋_GB2312"/>
          <w:color w:val="auto"/>
          <w:spacing w:val="-13"/>
          <w:sz w:val="28"/>
          <w:szCs w:val="28"/>
        </w:rPr>
        <w:t>报书为基础，以申报答辩评审专家意见为参考，科学合理、详实</w:t>
      </w:r>
      <w:r>
        <w:rPr>
          <w:rFonts w:hint="eastAsia" w:ascii="仿宋_GB2312" w:hAnsi="仿宋_GB2312" w:eastAsia="仿宋_GB2312" w:cs="仿宋_GB2312"/>
          <w:color w:val="auto"/>
          <w:spacing w:val="-15"/>
          <w:sz w:val="28"/>
          <w:szCs w:val="28"/>
        </w:rPr>
        <w:t>可行地编制赛项规程。赛项专家工作组组长为相应赛项规程的第一负责人。</w:t>
      </w:r>
    </w:p>
    <w:p>
      <w:pPr>
        <w:pStyle w:val="2"/>
        <w:spacing w:line="377" w:lineRule="exact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2.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竞赛平台方案制定</w:t>
      </w:r>
    </w:p>
    <w:p>
      <w:pPr>
        <w:pStyle w:val="2"/>
        <w:spacing w:before="178" w:line="350" w:lineRule="auto"/>
        <w:ind w:left="338" w:right="184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赛项专家工作组根据竞赛规程中确定的竞赛平台技术参数， </w:t>
      </w: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提出主要竞赛器材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（包含硬件及软件</w:t>
      </w:r>
      <w:r>
        <w:rPr>
          <w:rFonts w:hint="eastAsia" w:ascii="仿宋_GB2312" w:hAnsi="仿宋_GB2312" w:eastAsia="仿宋_GB2312" w:cs="仿宋_GB2312"/>
          <w:color w:val="auto"/>
          <w:spacing w:val="-29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-6"/>
          <w:sz w:val="28"/>
          <w:szCs w:val="28"/>
        </w:rPr>
        <w:t>方案。方案推荐的备选平</w:t>
      </w:r>
      <w:r>
        <w:rPr>
          <w:rFonts w:hint="eastAsia" w:ascii="仿宋_GB2312" w:hAnsi="仿宋_GB2312" w:eastAsia="仿宋_GB2312" w:cs="仿宋_GB2312"/>
          <w:color w:val="auto"/>
          <w:spacing w:val="-12"/>
          <w:sz w:val="28"/>
          <w:szCs w:val="28"/>
        </w:rPr>
        <w:t>台不少于两家。经大赛组委会办公室批准后公开征集意向合作企</w:t>
      </w:r>
      <w:r>
        <w:rPr>
          <w:rFonts w:hint="eastAsia" w:ascii="仿宋_GB2312" w:hAnsi="仿宋_GB2312" w:eastAsia="仿宋_GB2312" w:cs="仿宋_GB2312"/>
          <w:color w:val="auto"/>
          <w:spacing w:val="-17"/>
          <w:sz w:val="28"/>
          <w:szCs w:val="28"/>
        </w:rPr>
        <w:t>业，通过公开竞争确定竞赛平台。凡已经举办且反映良好的赛项， 比赛涉及的主要竞赛器材原则上保持相对稳定。</w:t>
      </w:r>
    </w:p>
    <w:p>
      <w:pPr>
        <w:pStyle w:val="2"/>
        <w:spacing w:line="377" w:lineRule="exact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3.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赛题设计与审核</w:t>
      </w:r>
    </w:p>
    <w:p>
      <w:pPr>
        <w:pStyle w:val="2"/>
        <w:spacing w:before="177" w:line="350" w:lineRule="auto"/>
        <w:ind w:left="338" w:right="331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9"/>
          <w:sz w:val="28"/>
          <w:szCs w:val="28"/>
        </w:rPr>
        <w:t>专家工作组主要依据《山西省职业院校技能大赛赛项赛题管理</w:t>
      </w:r>
      <w:r>
        <w:rPr>
          <w:rFonts w:hint="eastAsia" w:ascii="仿宋_GB2312" w:hAnsi="仿宋_GB2312" w:eastAsia="仿宋_GB2312" w:cs="仿宋_GB2312"/>
          <w:color w:val="auto"/>
          <w:spacing w:val="-11"/>
          <w:sz w:val="28"/>
          <w:szCs w:val="28"/>
        </w:rPr>
        <w:t>办法》完成赛题设计</w:t>
      </w:r>
      <w:ins w:id="0" w:author="lenovo" w:date="2019-01-22T01:22:00Z">
        <w:r>
          <w:rPr>
            <w:rFonts w:hint="eastAsia" w:ascii="仿宋_GB2312" w:hAnsi="仿宋_GB2312" w:eastAsia="仿宋_GB2312" w:cs="仿宋_GB2312"/>
            <w:color w:val="auto"/>
            <w:spacing w:val="-11"/>
            <w:sz w:val="28"/>
            <w:szCs w:val="28"/>
          </w:rPr>
          <w:t>并审核无误</w:t>
        </w:r>
      </w:ins>
      <w:r>
        <w:rPr>
          <w:rFonts w:hint="eastAsia" w:ascii="仿宋_GB2312" w:hAnsi="仿宋_GB2312" w:eastAsia="仿宋_GB2312" w:cs="仿宋_GB2312"/>
          <w:color w:val="auto"/>
          <w:spacing w:val="-11"/>
          <w:sz w:val="28"/>
          <w:szCs w:val="28"/>
        </w:rPr>
        <w:t>。赛卷或赛题须按要求在规定时间内在大赛</w:t>
      </w:r>
      <w:r>
        <w:rPr>
          <w:rFonts w:hint="eastAsia" w:ascii="仿宋_GB2312" w:hAnsi="仿宋_GB2312" w:eastAsia="仿宋_GB2312" w:cs="仿宋_GB2312"/>
          <w:color w:val="auto"/>
          <w:spacing w:val="-6"/>
          <w:sz w:val="28"/>
          <w:szCs w:val="28"/>
        </w:rPr>
        <w:t>官方网络平台进行公开</w:t>
      </w:r>
      <w:del w:id="1" w:author="lenovo" w:date="2019-01-22T01:22:00Z">
        <w:r>
          <w:rPr>
            <w:rFonts w:hint="eastAsia" w:ascii="仿宋_GB2312" w:hAnsi="仿宋_GB2312" w:eastAsia="仿宋_GB2312" w:cs="仿宋_GB2312"/>
            <w:color w:val="auto"/>
            <w:spacing w:val="-6"/>
            <w:sz w:val="28"/>
            <w:szCs w:val="28"/>
          </w:rPr>
          <w:delText>。专家工作组</w:delText>
        </w:r>
      </w:del>
      <w:del w:id="2" w:author="lenovo" w:date="2019-01-22T01:22:00Z">
        <w:r>
          <w:rPr>
            <w:rFonts w:hint="eastAsia" w:ascii="仿宋_GB2312" w:hAnsi="仿宋_GB2312" w:eastAsia="仿宋_GB2312" w:cs="仿宋_GB2312"/>
            <w:color w:val="auto"/>
            <w:spacing w:val="-10"/>
            <w:sz w:val="28"/>
            <w:szCs w:val="28"/>
          </w:rPr>
          <w:delText>完成赛题</w:delText>
        </w:r>
      </w:del>
      <w:del w:id="3" w:author="lenovo" w:date="2019-01-22T01:22:00Z">
        <w:r>
          <w:rPr>
            <w:rFonts w:hint="eastAsia" w:ascii="仿宋_GB2312" w:hAnsi="仿宋_GB2312" w:eastAsia="仿宋_GB2312" w:cs="仿宋_GB2312"/>
            <w:color w:val="auto"/>
            <w:sz w:val="28"/>
            <w:szCs w:val="28"/>
          </w:rPr>
          <w:delText>（</w:delText>
        </w:r>
      </w:del>
      <w:del w:id="4" w:author="lenovo" w:date="2019-01-22T01:22:00Z">
        <w:r>
          <w:rPr>
            <w:rFonts w:hint="eastAsia" w:ascii="仿宋_GB2312" w:hAnsi="仿宋_GB2312" w:eastAsia="仿宋_GB2312" w:cs="仿宋_GB2312"/>
            <w:color w:val="auto"/>
            <w:spacing w:val="-5"/>
            <w:sz w:val="28"/>
            <w:szCs w:val="28"/>
          </w:rPr>
          <w:delText>包含样题、赛卷和赛题库</w:delText>
        </w:r>
      </w:del>
      <w:del w:id="5" w:author="lenovo" w:date="2019-01-22T01:22:00Z">
        <w:r>
          <w:rPr>
            <w:rFonts w:hint="eastAsia" w:ascii="仿宋_GB2312" w:hAnsi="仿宋_GB2312" w:eastAsia="仿宋_GB2312" w:cs="仿宋_GB2312"/>
            <w:color w:val="auto"/>
            <w:spacing w:val="-22"/>
            <w:sz w:val="28"/>
            <w:szCs w:val="28"/>
          </w:rPr>
          <w:delText>）</w:delText>
        </w:r>
      </w:del>
      <w:del w:id="6" w:author="lenovo" w:date="2019-01-22T01:22:00Z">
        <w:r>
          <w:rPr>
            <w:rFonts w:hint="eastAsia" w:ascii="仿宋_GB2312" w:hAnsi="仿宋_GB2312" w:eastAsia="仿宋_GB2312" w:cs="仿宋_GB2312"/>
            <w:color w:val="auto"/>
            <w:spacing w:val="-5"/>
            <w:sz w:val="28"/>
            <w:szCs w:val="28"/>
          </w:rPr>
          <w:delText>设计后，交由赛项执委会</w:delText>
        </w:r>
      </w:del>
      <w:del w:id="7" w:author="lenovo" w:date="2019-01-22T01:22:00Z">
        <w:r>
          <w:rPr>
            <w:rFonts w:hint="eastAsia" w:ascii="仿宋_GB2312" w:hAnsi="仿宋_GB2312" w:eastAsia="仿宋_GB2312" w:cs="仿宋_GB2312"/>
            <w:color w:val="auto"/>
            <w:spacing w:val="-11"/>
            <w:sz w:val="28"/>
            <w:szCs w:val="28"/>
          </w:rPr>
          <w:delText>指定的专家进行审核</w:delText>
        </w:r>
      </w:del>
      <w:r>
        <w:rPr>
          <w:rFonts w:hint="eastAsia" w:ascii="仿宋_GB2312" w:hAnsi="仿宋_GB2312" w:eastAsia="仿宋_GB2312" w:cs="仿宋_GB2312"/>
          <w:color w:val="auto"/>
          <w:spacing w:val="-11"/>
          <w:sz w:val="28"/>
          <w:szCs w:val="28"/>
        </w:rPr>
        <w:t>。专家工作组对赛题负有保密责任，须签署保密协议，不得以任何方式泄露赛题内容。</w:t>
      </w:r>
    </w:p>
    <w:p>
      <w:pPr>
        <w:pStyle w:val="2"/>
        <w:spacing w:line="378" w:lineRule="exact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4.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赛场设计与验收</w:t>
      </w:r>
    </w:p>
    <w:p>
      <w:pPr>
        <w:pStyle w:val="2"/>
        <w:spacing w:line="360" w:lineRule="auto"/>
        <w:ind w:firstLine="712" w:firstLineChars="249"/>
        <w:rPr>
          <w:rFonts w:ascii="仿宋_GB2312" w:hAnsi="仿宋_GB2312" w:eastAsia="仿宋_GB2312" w:cs="仿宋_GB2312"/>
          <w:color w:val="auto"/>
          <w:spacing w:val="3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3"/>
          <w:sz w:val="28"/>
          <w:szCs w:val="28"/>
        </w:rPr>
        <w:t>赛项专家工作组以赛项规程中“竞赛环境”的内容阐述为基础，依据《山西省职业院校技能大赛赛项设备与设施管理办法》中“赛场布置”的有关要求，详细制定赛场建设方案和建设进度表， 交由赛项承办院校落实执行。专家工作组检查赛场建设进度，并于正式比赛前一周会同承办院校对赛场建设成果进行查漏、验收和签字确认。</w:t>
      </w:r>
    </w:p>
    <w:p>
      <w:pPr>
        <w:pStyle w:val="2"/>
        <w:spacing w:line="378" w:lineRule="exact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5.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赛项安全工作</w:t>
      </w:r>
    </w:p>
    <w:p>
      <w:pPr>
        <w:pStyle w:val="2"/>
        <w:spacing w:line="350" w:lineRule="auto"/>
        <w:ind w:firstLine="572" w:firstLineChars="200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3"/>
          <w:sz w:val="28"/>
          <w:szCs w:val="28"/>
        </w:rPr>
        <w:t>专家工作组作为赛项执委会下设安全保障工作组的成员之</w:t>
      </w:r>
      <w:r>
        <w:rPr>
          <w:rFonts w:hint="eastAsia" w:ascii="仿宋_GB2312" w:hAnsi="仿宋_GB2312" w:eastAsia="仿宋_GB2312" w:cs="仿宋_GB2312"/>
          <w:color w:val="auto"/>
          <w:spacing w:val="-9"/>
          <w:sz w:val="28"/>
          <w:szCs w:val="28"/>
        </w:rPr>
        <w:t>一，主要负责赛项安全工作中的命题安全和设备设施安全。针对</w:t>
      </w:r>
      <w:r>
        <w:rPr>
          <w:rFonts w:hint="eastAsia" w:ascii="仿宋_GB2312" w:hAnsi="仿宋_GB2312" w:eastAsia="仿宋_GB2312" w:cs="仿宋_GB2312"/>
          <w:color w:val="auto"/>
          <w:spacing w:val="-12"/>
          <w:sz w:val="28"/>
          <w:szCs w:val="28"/>
        </w:rPr>
        <w:t>命题安全，专家工作组须制定赛题管理的流程和规范及命题相关的安全预案，保证比赛命题、赛题保管、发放、回收和评判全过</w:t>
      </w:r>
      <w:r>
        <w:rPr>
          <w:rFonts w:hint="eastAsia" w:ascii="仿宋_GB2312" w:hAnsi="仿宋_GB2312" w:eastAsia="仿宋_GB2312" w:cs="仿宋_GB2312"/>
          <w:color w:val="auto"/>
          <w:spacing w:val="-13"/>
          <w:sz w:val="28"/>
          <w:szCs w:val="28"/>
        </w:rPr>
        <w:t xml:space="preserve">程的安全。针对设备设施安全，专家工作组应充分考虑比赛内容和所用器材、耗材可能存在的危险因素，在赛项技术文件中注明危险提示和防范措施，通过完善设计最大限度规避风险。同时， </w:t>
      </w:r>
      <w:r>
        <w:rPr>
          <w:rFonts w:hint="eastAsia" w:ascii="仿宋_GB2312" w:hAnsi="仿宋_GB2312" w:eastAsia="仿宋_GB2312" w:cs="仿宋_GB2312"/>
          <w:color w:val="auto"/>
          <w:spacing w:val="-17"/>
          <w:sz w:val="28"/>
          <w:szCs w:val="28"/>
        </w:rPr>
        <w:t>专家工作组须制定竞赛突发事件应急预案，以便快速有效地应对可能发生的安全事故。具体要求见《山西省职业院校技能大赛安全</w:t>
      </w:r>
      <w:r>
        <w:rPr>
          <w:rFonts w:hint="eastAsia" w:ascii="仿宋_GB2312" w:hAnsi="仿宋_GB2312" w:eastAsia="仿宋_GB2312" w:cs="仿宋_GB2312"/>
          <w:color w:val="auto"/>
          <w:spacing w:val="-37"/>
          <w:sz w:val="28"/>
          <w:szCs w:val="28"/>
        </w:rPr>
        <w:t>管理规定》。</w:t>
      </w:r>
    </w:p>
    <w:p>
      <w:pPr>
        <w:pStyle w:val="2"/>
        <w:spacing w:line="374" w:lineRule="exact"/>
        <w:ind w:left="0"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  <w:pPrChange w:id="8" w:author="lenovo" w:date="2019-01-22T01:24:00Z">
          <w:pPr>
            <w:pStyle w:val="2"/>
            <w:spacing w:line="374" w:lineRule="exact"/>
            <w:ind w:left="938"/>
          </w:pPr>
        </w:pPrChange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6.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裁判人员培训</w:t>
      </w:r>
    </w:p>
    <w:p>
      <w:pPr>
        <w:pStyle w:val="2"/>
        <w:spacing w:before="0" w:line="350" w:lineRule="auto"/>
        <w:ind w:left="0" w:right="0" w:firstLine="572" w:firstLineChars="200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  <w:pPrChange w:id="9" w:author="lenovo" w:date="2019-01-22T01:23:00Z">
          <w:pPr>
            <w:pStyle w:val="2"/>
            <w:spacing w:before="176" w:line="350" w:lineRule="auto"/>
            <w:ind w:left="338" w:right="332" w:firstLine="599"/>
            <w:jc w:val="both"/>
          </w:pPr>
        </w:pPrChange>
      </w:pPr>
      <w:r>
        <w:rPr>
          <w:rFonts w:hint="eastAsia" w:ascii="仿宋_GB2312" w:hAnsi="仿宋_GB2312" w:eastAsia="仿宋_GB2312" w:cs="仿宋_GB2312"/>
          <w:color w:val="auto"/>
          <w:spacing w:val="3"/>
          <w:sz w:val="28"/>
          <w:szCs w:val="28"/>
        </w:rPr>
        <w:t>赛项执委会及其下设专家工作组需在赛前组织赛项裁判人</w:t>
      </w:r>
      <w:r>
        <w:rPr>
          <w:rFonts w:hint="eastAsia" w:ascii="仿宋_GB2312" w:hAnsi="仿宋_GB2312" w:eastAsia="仿宋_GB2312" w:cs="仿宋_GB2312"/>
          <w:color w:val="auto"/>
          <w:spacing w:val="-8"/>
          <w:sz w:val="28"/>
          <w:szCs w:val="28"/>
        </w:rPr>
        <w:t>员培训，重点讲解与裁判执裁工作密切相关赛项竞赛规程，具体</w:t>
      </w:r>
      <w:r>
        <w:rPr>
          <w:rFonts w:hint="eastAsia" w:ascii="仿宋_GB2312" w:hAnsi="仿宋_GB2312" w:eastAsia="仿宋_GB2312" w:cs="仿宋_GB2312"/>
          <w:color w:val="auto"/>
          <w:spacing w:val="-11"/>
          <w:sz w:val="28"/>
          <w:szCs w:val="28"/>
        </w:rPr>
        <w:t>包括：比赛规则、比赛内容、竞赛技术平台、评分方式、评分标准、成绩管理流程、安全注意事项和安全应急预案等。</w:t>
      </w:r>
    </w:p>
    <w:p>
      <w:pPr>
        <w:pStyle w:val="2"/>
        <w:spacing w:line="360" w:lineRule="auto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7.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赛项说明会组织</w:t>
      </w:r>
    </w:p>
    <w:p>
      <w:pPr>
        <w:pStyle w:val="2"/>
        <w:spacing w:before="0" w:line="360" w:lineRule="auto"/>
        <w:ind w:left="0" w:right="0" w:firstLine="560" w:firstLineChars="200"/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  <w:pPrChange w:id="10" w:author="lenovo" w:date="2019-01-22T01:24:00Z">
          <w:pPr>
            <w:pStyle w:val="2"/>
            <w:spacing w:before="30" w:line="350" w:lineRule="auto"/>
            <w:ind w:left="338" w:right="332"/>
            <w:jc w:val="both"/>
          </w:pPr>
        </w:pPrChange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专家工作组于赛前组织召开赛项说明会，参会人员为各市</w:t>
      </w:r>
      <w:r>
        <w:rPr>
          <w:rFonts w:hint="eastAsia" w:ascii="仿宋_GB2312" w:hAnsi="仿宋_GB2312" w:eastAsia="仿宋_GB2312" w:cs="仿宋_GB2312"/>
          <w:color w:val="auto"/>
          <w:spacing w:val="-6"/>
          <w:sz w:val="28"/>
          <w:szCs w:val="28"/>
        </w:rPr>
        <w:t>教育行政部门或职业院校统一选派的领队、指导老师或其他相关人员。说明</w:t>
      </w:r>
      <w:r>
        <w:rPr>
          <w:rFonts w:hint="eastAsia" w:ascii="仿宋_GB2312" w:hAnsi="仿宋_GB2312" w:eastAsia="仿宋_GB2312" w:cs="仿宋_GB2312"/>
          <w:color w:val="auto"/>
          <w:spacing w:val="-10"/>
          <w:sz w:val="28"/>
          <w:szCs w:val="28"/>
        </w:rPr>
        <w:t>会的主要议题包括解读竞赛规程内容及注意事项、介绍竞赛技术平台及其操作、互动答疑等。</w:t>
      </w:r>
    </w:p>
    <w:p>
      <w:pPr>
        <w:pStyle w:val="2"/>
        <w:spacing w:line="381" w:lineRule="exact"/>
        <w:ind w:left="938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（二）赛中阶段</w:t>
      </w:r>
    </w:p>
    <w:p>
      <w:pPr>
        <w:pStyle w:val="2"/>
        <w:spacing w:before="175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8.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技术支持、竞赛成绩分析与点评</w:t>
      </w:r>
    </w:p>
    <w:p>
      <w:pPr>
        <w:pStyle w:val="2"/>
        <w:spacing w:before="178" w:line="350" w:lineRule="auto"/>
        <w:ind w:left="338" w:right="334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sz w:val="28"/>
          <w:szCs w:val="28"/>
        </w:rPr>
        <w:t>专家工作组在竞赛过程中为竞赛顺利开展提供技术支持。在</w:t>
      </w:r>
      <w:r>
        <w:rPr>
          <w:rFonts w:hint="eastAsia" w:ascii="仿宋_GB2312" w:hAnsi="仿宋_GB2312" w:eastAsia="仿宋_GB2312" w:cs="仿宋_GB2312"/>
          <w:color w:val="auto"/>
          <w:spacing w:val="3"/>
          <w:sz w:val="28"/>
          <w:szCs w:val="28"/>
        </w:rPr>
        <w:t>赛项成绩产生后至赛项闭赛式结束前组织进行竞赛成绩分析与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赛项点评，点评时间一般不少于 30</w:t>
      </w:r>
      <w:r>
        <w:rPr>
          <w:rFonts w:hint="eastAsia" w:ascii="仿宋_GB2312" w:hAnsi="仿宋_GB2312" w:eastAsia="仿宋_GB2312" w:cs="仿宋_GB2312"/>
          <w:color w:val="auto"/>
          <w:spacing w:val="-7"/>
          <w:sz w:val="28"/>
          <w:szCs w:val="28"/>
        </w:rPr>
        <w:t xml:space="preserve"> 分钟。具体要求见《山西省职</w:t>
      </w:r>
      <w:r>
        <w:rPr>
          <w:rFonts w:hint="eastAsia" w:ascii="仿宋_GB2312" w:hAnsi="仿宋_GB2312" w:eastAsia="仿宋_GB2312" w:cs="仿宋_GB2312"/>
          <w:color w:val="auto"/>
          <w:spacing w:val="-16"/>
          <w:sz w:val="28"/>
          <w:szCs w:val="28"/>
        </w:rPr>
        <w:t>业院校技能大赛赛后工作管理办法》。</w:t>
      </w:r>
    </w:p>
    <w:p>
      <w:pPr>
        <w:pStyle w:val="2"/>
        <w:spacing w:line="379" w:lineRule="exact"/>
        <w:ind w:left="938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/>
        </w:rPr>
        <w:t>（三）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赛后阶段</w:t>
      </w:r>
    </w:p>
    <w:p>
      <w:pPr>
        <w:pStyle w:val="2"/>
        <w:spacing w:before="174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9.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专家工作总结</w:t>
      </w:r>
    </w:p>
    <w:p>
      <w:pPr>
        <w:pStyle w:val="2"/>
        <w:spacing w:before="178" w:line="350" w:lineRule="auto"/>
        <w:ind w:left="338" w:right="332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3"/>
          <w:sz w:val="28"/>
          <w:szCs w:val="28"/>
        </w:rPr>
        <w:t>专家工作组须填写专家工作总结表，重点完成赛项分析报</w:t>
      </w: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 xml:space="preserve">告，于赛项闭赛后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color w:val="auto"/>
          <w:spacing w:val="-7"/>
          <w:sz w:val="28"/>
          <w:szCs w:val="28"/>
        </w:rPr>
        <w:t xml:space="preserve"> 日内提交大赛组委会办公室。赛项分析报</w:t>
      </w:r>
      <w:r>
        <w:rPr>
          <w:rFonts w:hint="eastAsia" w:ascii="仿宋_GB2312" w:hAnsi="仿宋_GB2312" w:eastAsia="仿宋_GB2312" w:cs="仿宋_GB2312"/>
          <w:color w:val="auto"/>
          <w:spacing w:val="-13"/>
          <w:sz w:val="28"/>
          <w:szCs w:val="28"/>
        </w:rPr>
        <w:t>告的指导办法见《山西省职业院校技能大赛赛后工作管理办法》。</w:t>
      </w:r>
      <w:r>
        <w:rPr>
          <w:rFonts w:hint="eastAsia" w:ascii="仿宋_GB2312" w:hAnsi="仿宋_GB2312" w:eastAsia="仿宋_GB2312" w:cs="仿宋_GB2312"/>
          <w:color w:val="auto"/>
          <w:spacing w:val="-11"/>
          <w:sz w:val="28"/>
          <w:szCs w:val="28"/>
        </w:rPr>
        <w:t>此外，专家工作组应指导赛项承办院校做好比赛档案，包括赛项赛题、赛项说明会会议资料、安全预案等的整理、归档和封存工作。</w:t>
      </w:r>
    </w:p>
    <w:p>
      <w:pPr>
        <w:pStyle w:val="2"/>
        <w:spacing w:line="378" w:lineRule="exact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/>
        </w:rPr>
        <w:t>10.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赛项资源转化</w:t>
      </w:r>
    </w:p>
    <w:p>
      <w:pPr>
        <w:pStyle w:val="2"/>
        <w:spacing w:before="158" w:line="336" w:lineRule="auto"/>
        <w:ind w:left="338" w:right="332" w:firstLine="599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7"/>
          <w:sz w:val="28"/>
          <w:szCs w:val="28"/>
        </w:rPr>
        <w:t>按照《山西省职业院校技能大赛赛项资源转化工作办法》，要</w:t>
      </w:r>
      <w:r>
        <w:rPr>
          <w:rFonts w:hint="eastAsia" w:ascii="仿宋_GB2312" w:hAnsi="仿宋_GB2312" w:eastAsia="仿宋_GB2312" w:cs="仿宋_GB2312"/>
          <w:color w:val="auto"/>
          <w:spacing w:val="-13"/>
          <w:sz w:val="28"/>
          <w:szCs w:val="28"/>
        </w:rPr>
        <w:t>求在公布拟设赛项规程时，公布详细的赛项资源转化方案。在赛</w:t>
      </w:r>
      <w:r>
        <w:rPr>
          <w:rFonts w:hint="eastAsia" w:ascii="仿宋_GB2312" w:hAnsi="仿宋_GB2312" w:eastAsia="仿宋_GB2312" w:cs="仿宋_GB2312"/>
          <w:color w:val="auto"/>
          <w:spacing w:val="-18"/>
          <w:sz w:val="28"/>
          <w:szCs w:val="28"/>
        </w:rPr>
        <w:t xml:space="preserve">项比赛结束后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color w:val="auto"/>
          <w:spacing w:val="-7"/>
          <w:sz w:val="28"/>
          <w:szCs w:val="28"/>
        </w:rPr>
        <w:t xml:space="preserve"> 个工作日内，向大赛组委会办公室上报赛项资</w:t>
      </w:r>
      <w:r>
        <w:rPr>
          <w:rFonts w:hint="eastAsia" w:ascii="仿宋_GB2312" w:hAnsi="仿宋_GB2312" w:eastAsia="仿宋_GB2312" w:cs="仿宋_GB2312"/>
          <w:color w:val="auto"/>
          <w:spacing w:val="-12"/>
          <w:sz w:val="28"/>
          <w:szCs w:val="28"/>
        </w:rPr>
        <w:t>源转化的实施方案。在赛后三个月内完成资源转化，特殊赛项的资源转化不超过半年。</w:t>
      </w:r>
    </w:p>
    <w:p>
      <w:pPr>
        <w:spacing w:line="336" w:lineRule="auto"/>
        <w:jc w:val="both"/>
        <w:rPr>
          <w:rFonts w:ascii="仿宋_GB2312" w:hAnsi="仿宋_GB2312" w:eastAsia="仿宋_GB2312" w:cs="仿宋_GB2312"/>
          <w:color w:val="auto"/>
          <w:sz w:val="28"/>
          <w:szCs w:val="28"/>
        </w:rPr>
        <w:sectPr>
          <w:pgSz w:w="11910" w:h="16840"/>
          <w:pgMar w:top="1540" w:right="1460" w:bottom="1160" w:left="1460" w:header="0" w:footer="894" w:gutter="0"/>
          <w:cols w:space="720" w:num="1"/>
        </w:sectPr>
      </w:pPr>
    </w:p>
    <w:p>
      <w:pPr>
        <w:pStyle w:val="13"/>
        <w:spacing w:line="523" w:lineRule="exact"/>
        <w:ind w:left="9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ascii="黑体" w:hAnsi="黑体" w:eastAsia="黑体" w:cs="黑体"/>
          <w:b w:val="0"/>
          <w:color w:val="auto"/>
          <w:sz w:val="28"/>
          <w:szCs w:val="28"/>
        </w:rPr>
        <w:pict>
          <v:shape id="_x0000_s2085" o:spid="_x0000_s2085" o:spt="202" type="#_x0000_t202" style="position:absolute;left:0pt;margin-left:84.25pt;margin-top:100pt;height:657.25pt;width:426.6pt;mso-position-horizontal-relative:page;mso-position-vertical-relative:page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8517" w:type="dxa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12"/>
                    <w:gridCol w:w="5005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78" w:hRule="atLeast"/>
                    </w:trPr>
                    <w:tc>
                      <w:tcPr>
                        <w:tcW w:w="3512" w:type="dxa"/>
                      </w:tcPr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10"/>
                          <w:rPr>
                            <w:rFonts w:ascii="Microsoft JhengHei UI"/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15"/>
                          <w:spacing w:before="1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/>
                          </w:rPr>
                          <w:t>1.</w:t>
                        </w:r>
                        <w:r>
                          <w:rPr>
                            <w:sz w:val="24"/>
                          </w:rPr>
                          <w:t>赛项规程编制</w:t>
                        </w:r>
                      </w:p>
                    </w:tc>
                    <w:tc>
                      <w:tcPr>
                        <w:tcW w:w="5005" w:type="dxa"/>
                      </w:tcPr>
                      <w:p>
                        <w:pPr>
                          <w:pStyle w:val="15"/>
                          <w:spacing w:before="2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工作描述：</w:t>
                        </w: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12"/>
                          <w:rPr>
                            <w:rFonts w:ascii="Microsoft JhengHei UI"/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15"/>
                          <w:tabs>
                            <w:tab w:val="left" w:pos="2385"/>
                            <w:tab w:val="left" w:pos="2985"/>
                            <w:tab w:val="left" w:pos="3465"/>
                          </w:tabs>
                          <w:spacing w:line="289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签字：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69" w:hRule="atLeast"/>
                    </w:trPr>
                    <w:tc>
                      <w:tcPr>
                        <w:tcW w:w="3512" w:type="dxa"/>
                      </w:tcPr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15"/>
                          <w:rPr>
                            <w:rFonts w:ascii="Microsoft JhengHei UI"/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15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/>
                          </w:rPr>
                          <w:t>2.</w:t>
                        </w:r>
                        <w:r>
                          <w:rPr>
                            <w:sz w:val="24"/>
                          </w:rPr>
                          <w:t>竞赛平台方案制定</w:t>
                        </w:r>
                      </w:p>
                    </w:tc>
                    <w:tc>
                      <w:tcPr>
                        <w:tcW w:w="5005" w:type="dxa"/>
                      </w:tcPr>
                      <w:p>
                        <w:pPr>
                          <w:pStyle w:val="15"/>
                          <w:spacing w:line="307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工作描述：</w:t>
                        </w: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5"/>
                          <w:rPr>
                            <w:rFonts w:ascii="Microsoft JhengHei UI"/>
                            <w:b/>
                          </w:rPr>
                        </w:pPr>
                      </w:p>
                      <w:p>
                        <w:pPr>
                          <w:pStyle w:val="15"/>
                          <w:tabs>
                            <w:tab w:val="left" w:pos="2265"/>
                            <w:tab w:val="left" w:pos="2865"/>
                            <w:tab w:val="left" w:pos="3345"/>
                          </w:tabs>
                          <w:spacing w:line="292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签字：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79" w:hRule="atLeast"/>
                    </w:trPr>
                    <w:tc>
                      <w:tcPr>
                        <w:tcW w:w="3512" w:type="dxa"/>
                      </w:tcPr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8"/>
                          <w:rPr>
                            <w:rFonts w:ascii="Microsoft JhengHei UI"/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15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/>
                          </w:rPr>
                          <w:t>3.</w:t>
                        </w:r>
                        <w:r>
                          <w:rPr>
                            <w:sz w:val="24"/>
                          </w:rPr>
                          <w:t>赛题设计与审核</w:t>
                        </w:r>
                      </w:p>
                    </w:tc>
                    <w:tc>
                      <w:tcPr>
                        <w:tcW w:w="5005" w:type="dxa"/>
                      </w:tcPr>
                      <w:p>
                        <w:pPr>
                          <w:pStyle w:val="15"/>
                          <w:spacing w:line="307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工作描述：</w:t>
                        </w: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12"/>
                          <w:rPr>
                            <w:rFonts w:ascii="Microsoft JhengHei UI"/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15"/>
                          <w:tabs>
                            <w:tab w:val="left" w:pos="2265"/>
                            <w:tab w:val="left" w:pos="2865"/>
                            <w:tab w:val="left" w:pos="3345"/>
                          </w:tabs>
                          <w:spacing w:line="292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签字：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488" w:hRule="atLeast"/>
                    </w:trPr>
                    <w:tc>
                      <w:tcPr>
                        <w:tcW w:w="3512" w:type="dxa"/>
                      </w:tcPr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4"/>
                          <w:rPr>
                            <w:rFonts w:ascii="Microsoft JhengHei UI"/>
                            <w:b/>
                            <w:sz w:val="13"/>
                          </w:rPr>
                        </w:pPr>
                      </w:p>
                      <w:p>
                        <w:pPr>
                          <w:pStyle w:val="15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/>
                          </w:rPr>
                          <w:t>4.</w:t>
                        </w:r>
                        <w:r>
                          <w:rPr>
                            <w:sz w:val="24"/>
                          </w:rPr>
                          <w:t>赛场设计与验收</w:t>
                        </w:r>
                      </w:p>
                    </w:tc>
                    <w:tc>
                      <w:tcPr>
                        <w:tcW w:w="5005" w:type="dxa"/>
                      </w:tcPr>
                      <w:p>
                        <w:pPr>
                          <w:pStyle w:val="15"/>
                          <w:spacing w:line="307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工作描述：</w:t>
                        </w: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3"/>
                          <w:rPr>
                            <w:rFonts w:ascii="Microsoft JhengHei UI"/>
                            <w:b/>
                            <w:sz w:val="33"/>
                          </w:rPr>
                        </w:pPr>
                      </w:p>
                      <w:p>
                        <w:pPr>
                          <w:pStyle w:val="15"/>
                          <w:tabs>
                            <w:tab w:val="left" w:pos="2265"/>
                            <w:tab w:val="left" w:pos="2865"/>
                            <w:tab w:val="left" w:pos="3345"/>
                          </w:tabs>
                          <w:spacing w:before="1" w:line="289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签字：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79" w:hRule="atLeast"/>
                    </w:trPr>
                    <w:tc>
                      <w:tcPr>
                        <w:tcW w:w="3512" w:type="dxa"/>
                      </w:tcPr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9"/>
                          <w:rPr>
                            <w:rFonts w:ascii="Microsoft JhengHei UI"/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15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/>
                          </w:rPr>
                          <w:t>5.</w:t>
                        </w:r>
                        <w:r>
                          <w:rPr>
                            <w:sz w:val="24"/>
                          </w:rPr>
                          <w:t>赛项安全工作</w:t>
                        </w:r>
                      </w:p>
                    </w:tc>
                    <w:tc>
                      <w:tcPr>
                        <w:tcW w:w="5005" w:type="dxa"/>
                      </w:tcPr>
                      <w:p>
                        <w:pPr>
                          <w:pStyle w:val="15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工作描述：</w:t>
                        </w: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14"/>
                          <w:rPr>
                            <w:rFonts w:ascii="Microsoft JhengHei UI"/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15"/>
                          <w:tabs>
                            <w:tab w:val="left" w:pos="2145"/>
                            <w:tab w:val="left" w:pos="2745"/>
                            <w:tab w:val="left" w:pos="3225"/>
                          </w:tabs>
                          <w:spacing w:before="1" w:line="289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签字：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79" w:hRule="atLeast"/>
                    </w:trPr>
                    <w:tc>
                      <w:tcPr>
                        <w:tcW w:w="3512" w:type="dxa"/>
                      </w:tcPr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8"/>
                          <w:rPr>
                            <w:rFonts w:ascii="Microsoft JhengHei UI"/>
                            <w:b/>
                            <w:sz w:val="28"/>
                          </w:rPr>
                        </w:pPr>
                      </w:p>
                      <w:p>
                        <w:pPr>
                          <w:pStyle w:val="15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lang w:val="en-US"/>
                          </w:rPr>
                          <w:t>6.</w:t>
                        </w:r>
                        <w:r>
                          <w:rPr>
                            <w:sz w:val="24"/>
                          </w:rPr>
                          <w:t>裁判员培训</w:t>
                        </w:r>
                      </w:p>
                    </w:tc>
                    <w:tc>
                      <w:tcPr>
                        <w:tcW w:w="5005" w:type="dxa"/>
                      </w:tcPr>
                      <w:p>
                        <w:pPr>
                          <w:pStyle w:val="15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工作描述：</w:t>
                        </w: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rPr>
                            <w:rFonts w:ascii="Microsoft JhengHei UI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15"/>
                          <w:spacing w:before="14"/>
                          <w:rPr>
                            <w:rFonts w:ascii="Microsoft JhengHei UI"/>
                            <w:b/>
                            <w:sz w:val="15"/>
                          </w:rPr>
                        </w:pPr>
                      </w:p>
                      <w:p>
                        <w:pPr>
                          <w:pStyle w:val="15"/>
                          <w:tabs>
                            <w:tab w:val="left" w:pos="2145"/>
                            <w:tab w:val="left" w:pos="2745"/>
                            <w:tab w:val="left" w:pos="3225"/>
                          </w:tabs>
                          <w:spacing w:line="289" w:lineRule="exact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签字：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年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月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日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hint="eastAsia" w:ascii="黑体" w:hAnsi="黑体" w:eastAsia="黑体" w:cs="黑体"/>
          <w:b w:val="0"/>
          <w:color w:val="auto"/>
          <w:sz w:val="28"/>
          <w:szCs w:val="28"/>
        </w:rPr>
        <w:t>四、 工作记录</w:t>
      </w:r>
    </w:p>
    <w:p>
      <w:pPr>
        <w:spacing w:line="523" w:lineRule="exact"/>
        <w:rPr>
          <w:rFonts w:ascii="仿宋_GB2312" w:hAnsi="仿宋_GB2312" w:eastAsia="仿宋_GB2312" w:cs="仿宋_GB2312"/>
          <w:color w:val="auto"/>
          <w:sz w:val="28"/>
          <w:szCs w:val="28"/>
        </w:rPr>
        <w:sectPr>
          <w:footerReference r:id="rId4" w:type="default"/>
          <w:pgSz w:w="11910" w:h="16840"/>
          <w:pgMar w:top="1500" w:right="1460" w:bottom="1380" w:left="1460" w:header="0" w:footer="1193" w:gutter="0"/>
          <w:pgNumType w:start="13"/>
          <w:cols w:space="720" w:num="1"/>
        </w:sectPr>
      </w:pPr>
    </w:p>
    <w:tbl>
      <w:tblPr>
        <w:tblStyle w:val="8"/>
        <w:tblW w:w="8517" w:type="dxa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12"/>
        <w:gridCol w:w="1846"/>
        <w:gridCol w:w="1020"/>
        <w:gridCol w:w="540"/>
        <w:gridCol w:w="15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</w:trPr>
        <w:tc>
          <w:tcPr>
            <w:tcW w:w="3512" w:type="dxa"/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4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ind w:left="107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说明会组织</w:t>
            </w:r>
          </w:p>
        </w:tc>
        <w:tc>
          <w:tcPr>
            <w:tcW w:w="1846" w:type="dxa"/>
            <w:tcBorders>
              <w:right w:val="nil"/>
            </w:tcBorders>
          </w:tcPr>
          <w:p>
            <w:pPr>
              <w:pStyle w:val="15"/>
              <w:ind w:left="105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工作描述：</w:t>
            </w: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4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left="105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签字：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9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right="113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9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right="53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</w:p>
        </w:tc>
        <w:tc>
          <w:tcPr>
            <w:tcW w:w="1599" w:type="dxa"/>
            <w:tcBorders>
              <w:lef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9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right="1167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9" w:hRule="atLeast"/>
        </w:trPr>
        <w:tc>
          <w:tcPr>
            <w:tcW w:w="3512" w:type="dxa"/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4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1"/>
              <w:ind w:left="107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  <w:t>8.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技术支持、成绩分析与点评</w:t>
            </w:r>
          </w:p>
        </w:tc>
        <w:tc>
          <w:tcPr>
            <w:tcW w:w="1846" w:type="dxa"/>
            <w:tcBorders>
              <w:right w:val="nil"/>
            </w:tcBorders>
          </w:tcPr>
          <w:p>
            <w:pPr>
              <w:pStyle w:val="15"/>
              <w:ind w:left="105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工作描述：</w:t>
            </w: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4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89" w:lineRule="exact"/>
              <w:ind w:left="105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签字：</w:t>
            </w:r>
          </w:p>
        </w:tc>
        <w:tc>
          <w:tcPr>
            <w:tcW w:w="1020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9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89" w:lineRule="exact"/>
              <w:ind w:right="113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</w:p>
        </w:tc>
        <w:tc>
          <w:tcPr>
            <w:tcW w:w="540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9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89" w:lineRule="exact"/>
              <w:ind w:right="53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</w:p>
        </w:tc>
        <w:tc>
          <w:tcPr>
            <w:tcW w:w="1599" w:type="dxa"/>
            <w:tcBorders>
              <w:lef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9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89" w:lineRule="exact"/>
              <w:ind w:right="1167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0" w:hRule="atLeast"/>
        </w:trPr>
        <w:tc>
          <w:tcPr>
            <w:tcW w:w="3512" w:type="dxa"/>
            <w:tcBorders>
              <w:bottom w:val="single" w:color="000000" w:sz="6" w:space="0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ind w:left="107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  <w:t>9.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专家工作总结</w:t>
            </w:r>
          </w:p>
        </w:tc>
        <w:tc>
          <w:tcPr>
            <w:tcW w:w="1846" w:type="dxa"/>
            <w:tcBorders>
              <w:bottom w:val="single" w:color="000000" w:sz="6" w:space="0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10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0" w:lineRule="exact"/>
              <w:ind w:left="105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签字：</w:t>
            </w:r>
          </w:p>
        </w:tc>
        <w:tc>
          <w:tcPr>
            <w:tcW w:w="1020" w:type="dxa"/>
            <w:tcBorders>
              <w:left w:val="nil"/>
              <w:bottom w:val="single" w:color="000000" w:sz="6" w:space="0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10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0" w:lineRule="exact"/>
              <w:ind w:right="113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</w:p>
        </w:tc>
        <w:tc>
          <w:tcPr>
            <w:tcW w:w="540" w:type="dxa"/>
            <w:tcBorders>
              <w:left w:val="nil"/>
              <w:bottom w:val="single" w:color="000000" w:sz="6" w:space="0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10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0" w:lineRule="exact"/>
              <w:ind w:right="53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</w:p>
        </w:tc>
        <w:tc>
          <w:tcPr>
            <w:tcW w:w="1599" w:type="dxa"/>
            <w:tcBorders>
              <w:left w:val="nil"/>
              <w:bottom w:val="single" w:color="000000" w:sz="6" w:space="0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10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0" w:lineRule="exact"/>
              <w:ind w:right="1167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3512" w:type="dxa"/>
            <w:tcBorders>
              <w:top w:val="single" w:color="000000" w:sz="6" w:space="0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2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ind w:left="107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  <w:t>10.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赛项资源转化</w:t>
            </w:r>
            <w:bookmarkStart w:id="1" w:name="_GoBack"/>
            <w:bookmarkEnd w:id="1"/>
          </w:p>
        </w:tc>
        <w:tc>
          <w:tcPr>
            <w:tcW w:w="1846" w:type="dxa"/>
            <w:tcBorders>
              <w:top w:val="single" w:color="000000" w:sz="6" w:space="0"/>
              <w:right w:val="nil"/>
            </w:tcBorders>
          </w:tcPr>
          <w:p>
            <w:pPr>
              <w:pStyle w:val="15"/>
              <w:spacing w:line="305" w:lineRule="exact"/>
              <w:ind w:left="105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工作描述：</w:t>
            </w: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1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left="105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签字：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4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right="233"/>
              <w:jc w:val="righ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</w:t>
            </w:r>
          </w:p>
        </w:tc>
        <w:tc>
          <w:tcPr>
            <w:tcW w:w="540" w:type="dxa"/>
            <w:tcBorders>
              <w:top w:val="single" w:color="000000" w:sz="6" w:space="0"/>
              <w:left w:val="nil"/>
              <w:righ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4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left="124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</w:p>
        </w:tc>
        <w:tc>
          <w:tcPr>
            <w:tcW w:w="1599" w:type="dxa"/>
            <w:tcBorders>
              <w:top w:val="single" w:color="000000" w:sz="6" w:space="0"/>
              <w:left w:val="nil"/>
            </w:tcBorders>
          </w:tcPr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before="4"/>
              <w:rPr>
                <w:rFonts w:ascii="仿宋_GB2312" w:hAnsi="仿宋_GB2312" w:eastAsia="仿宋_GB2312" w:cs="仿宋_GB2312"/>
                <w:b/>
                <w:color w:val="auto"/>
                <w:sz w:val="28"/>
                <w:szCs w:val="28"/>
              </w:rPr>
            </w:pPr>
          </w:p>
          <w:p>
            <w:pPr>
              <w:pStyle w:val="15"/>
              <w:spacing w:line="292" w:lineRule="exact"/>
              <w:ind w:left="64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</w:tbl>
    <w:p>
      <w:pPr>
        <w:pStyle w:val="2"/>
        <w:spacing w:before="3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</w:p>
    <w:p>
      <w:pPr>
        <w:pStyle w:val="2"/>
        <w:tabs>
          <w:tab w:val="left" w:pos="6038"/>
        </w:tabs>
        <w:spacing w:before="58"/>
        <w:ind w:left="638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专家组组长签名：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</w:t>
      </w:r>
    </w:p>
    <w:p>
      <w:pPr>
        <w:spacing w:line="414" w:lineRule="exact"/>
        <w:ind w:left="232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</w:p>
    <w:sectPr>
      <w:footerReference r:id="rId5" w:type="default"/>
      <w:pgSz w:w="11910" w:h="16840"/>
      <w:pgMar w:top="1380" w:right="1460" w:bottom="1380" w:left="1460" w:header="0" w:footer="111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2"/>
      </w:rPr>
    </w:pPr>
    <w:r>
      <w:pict>
        <v:shape id="_x0000_s1035" o:spid="_x0000_s1035" o:spt="202" type="#_x0000_t202" style="position:absolute;left:0pt;margin-left:288.8pt;margin-top:782.2pt;height:11pt;width:17.7pt;mso-position-horizontal-relative:page;mso-position-vertical-relative:page;z-index:-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1034" o:spid="_x0000_s1034" o:spt="202" type="#_x0000_t202" style="position:absolute;left:0pt;margin-left:288.8pt;margin-top:771.3pt;height:11pt;width:16.7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revisionView w:markup="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useFELayout/>
    <w:compatSetting w:name="compatibilityMode" w:uri="http://schemas.microsoft.com/office/word" w:val="12"/>
  </w:compat>
  <w:rsids>
    <w:rsidRoot w:val="009C65B3"/>
    <w:rsid w:val="00014FBC"/>
    <w:rsid w:val="00031983"/>
    <w:rsid w:val="0003707B"/>
    <w:rsid w:val="00051FDF"/>
    <w:rsid w:val="00055B54"/>
    <w:rsid w:val="0005662C"/>
    <w:rsid w:val="00092E64"/>
    <w:rsid w:val="000A1DFB"/>
    <w:rsid w:val="000F5A49"/>
    <w:rsid w:val="00106E77"/>
    <w:rsid w:val="00132331"/>
    <w:rsid w:val="00144A65"/>
    <w:rsid w:val="001B0C90"/>
    <w:rsid w:val="001B4252"/>
    <w:rsid w:val="00256AE0"/>
    <w:rsid w:val="00257076"/>
    <w:rsid w:val="00260466"/>
    <w:rsid w:val="0026465D"/>
    <w:rsid w:val="00267AA9"/>
    <w:rsid w:val="00275817"/>
    <w:rsid w:val="002A08F5"/>
    <w:rsid w:val="002B6AEC"/>
    <w:rsid w:val="002D0D0F"/>
    <w:rsid w:val="002D2052"/>
    <w:rsid w:val="002F28A0"/>
    <w:rsid w:val="002F28D2"/>
    <w:rsid w:val="002F66A8"/>
    <w:rsid w:val="00300A5C"/>
    <w:rsid w:val="00303B17"/>
    <w:rsid w:val="0030467D"/>
    <w:rsid w:val="003440DA"/>
    <w:rsid w:val="003571FF"/>
    <w:rsid w:val="0036449C"/>
    <w:rsid w:val="003773AF"/>
    <w:rsid w:val="003910E4"/>
    <w:rsid w:val="00391B0E"/>
    <w:rsid w:val="003963B2"/>
    <w:rsid w:val="00396C40"/>
    <w:rsid w:val="00404524"/>
    <w:rsid w:val="00404DB7"/>
    <w:rsid w:val="00420595"/>
    <w:rsid w:val="0042125F"/>
    <w:rsid w:val="004511AD"/>
    <w:rsid w:val="00461DD6"/>
    <w:rsid w:val="00476833"/>
    <w:rsid w:val="004812E9"/>
    <w:rsid w:val="00486CC7"/>
    <w:rsid w:val="004B6705"/>
    <w:rsid w:val="004E1C08"/>
    <w:rsid w:val="00531918"/>
    <w:rsid w:val="00556709"/>
    <w:rsid w:val="00560FF7"/>
    <w:rsid w:val="005D1B05"/>
    <w:rsid w:val="00603674"/>
    <w:rsid w:val="00636FE0"/>
    <w:rsid w:val="00677934"/>
    <w:rsid w:val="006D673C"/>
    <w:rsid w:val="006F75DF"/>
    <w:rsid w:val="00713F5C"/>
    <w:rsid w:val="007160D0"/>
    <w:rsid w:val="00735186"/>
    <w:rsid w:val="0075424C"/>
    <w:rsid w:val="00756F45"/>
    <w:rsid w:val="00794369"/>
    <w:rsid w:val="007F35B5"/>
    <w:rsid w:val="00811361"/>
    <w:rsid w:val="00824760"/>
    <w:rsid w:val="00850B73"/>
    <w:rsid w:val="008647D0"/>
    <w:rsid w:val="008B4CC0"/>
    <w:rsid w:val="009919A2"/>
    <w:rsid w:val="009C4DB6"/>
    <w:rsid w:val="009C65B3"/>
    <w:rsid w:val="009D3345"/>
    <w:rsid w:val="009F08B6"/>
    <w:rsid w:val="009F0D84"/>
    <w:rsid w:val="00A0446A"/>
    <w:rsid w:val="00A50AD8"/>
    <w:rsid w:val="00B01B2C"/>
    <w:rsid w:val="00B13765"/>
    <w:rsid w:val="00B30A62"/>
    <w:rsid w:val="00B72E11"/>
    <w:rsid w:val="00B7758E"/>
    <w:rsid w:val="00B93876"/>
    <w:rsid w:val="00BB5AE5"/>
    <w:rsid w:val="00BC29D0"/>
    <w:rsid w:val="00C02849"/>
    <w:rsid w:val="00C03987"/>
    <w:rsid w:val="00C553EC"/>
    <w:rsid w:val="00C95264"/>
    <w:rsid w:val="00CB6540"/>
    <w:rsid w:val="00D10E07"/>
    <w:rsid w:val="00D14557"/>
    <w:rsid w:val="00D22462"/>
    <w:rsid w:val="00D66B5B"/>
    <w:rsid w:val="00D7785A"/>
    <w:rsid w:val="00D858CD"/>
    <w:rsid w:val="00D8603F"/>
    <w:rsid w:val="00E62DD9"/>
    <w:rsid w:val="00E93E42"/>
    <w:rsid w:val="00EC234D"/>
    <w:rsid w:val="00ED0B31"/>
    <w:rsid w:val="00ED607C"/>
    <w:rsid w:val="00EE3553"/>
    <w:rsid w:val="00EF0656"/>
    <w:rsid w:val="00F013AB"/>
    <w:rsid w:val="00F83429"/>
    <w:rsid w:val="140A3195"/>
    <w:rsid w:val="48A966CD"/>
    <w:rsid w:val="5CAE7ABD"/>
    <w:rsid w:val="6D9470C1"/>
    <w:rsid w:val="75C67F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7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OC 1"/>
    <w:basedOn w:val="1"/>
    <w:qFormat/>
    <w:uiPriority w:val="1"/>
    <w:pPr>
      <w:spacing w:before="240"/>
      <w:ind w:left="398"/>
    </w:pPr>
    <w:rPr>
      <w:sz w:val="30"/>
      <w:szCs w:val="30"/>
    </w:rPr>
  </w:style>
  <w:style w:type="paragraph" w:customStyle="1" w:styleId="10">
    <w:name w:val="Heading 1"/>
    <w:basedOn w:val="1"/>
    <w:qFormat/>
    <w:uiPriority w:val="1"/>
    <w:pPr>
      <w:ind w:left="481" w:right="484"/>
      <w:jc w:val="center"/>
      <w:outlineLvl w:val="1"/>
    </w:pPr>
    <w:rPr>
      <w:rFonts w:ascii="微软雅黑" w:hAnsi="微软雅黑" w:eastAsia="微软雅黑" w:cs="微软雅黑"/>
      <w:b/>
      <w:bCs/>
      <w:sz w:val="56"/>
      <w:szCs w:val="56"/>
    </w:rPr>
  </w:style>
  <w:style w:type="paragraph" w:customStyle="1" w:styleId="11">
    <w:name w:val="Heading 2"/>
    <w:basedOn w:val="1"/>
    <w:qFormat/>
    <w:uiPriority w:val="1"/>
    <w:pPr>
      <w:jc w:val="center"/>
      <w:outlineLvl w:val="2"/>
    </w:pPr>
    <w:rPr>
      <w:rFonts w:ascii="微软雅黑" w:hAnsi="微软雅黑" w:eastAsia="微软雅黑" w:cs="微软雅黑"/>
      <w:b/>
      <w:bCs/>
      <w:sz w:val="52"/>
      <w:szCs w:val="52"/>
    </w:rPr>
  </w:style>
  <w:style w:type="paragraph" w:customStyle="1" w:styleId="12">
    <w:name w:val="Heading 3"/>
    <w:basedOn w:val="1"/>
    <w:qFormat/>
    <w:uiPriority w:val="1"/>
    <w:pPr>
      <w:ind w:left="338"/>
      <w:outlineLvl w:val="3"/>
    </w:pPr>
    <w:rPr>
      <w:rFonts w:ascii="微软雅黑" w:hAnsi="微软雅黑" w:eastAsia="微软雅黑" w:cs="微软雅黑"/>
      <w:b/>
      <w:bCs/>
      <w:sz w:val="36"/>
      <w:szCs w:val="36"/>
    </w:rPr>
  </w:style>
  <w:style w:type="paragraph" w:customStyle="1" w:styleId="13">
    <w:name w:val="Heading 4"/>
    <w:basedOn w:val="1"/>
    <w:qFormat/>
    <w:uiPriority w:val="1"/>
    <w:pPr>
      <w:spacing w:line="456" w:lineRule="exact"/>
      <w:ind w:left="1000"/>
      <w:outlineLvl w:val="4"/>
    </w:pPr>
    <w:rPr>
      <w:rFonts w:ascii="Microsoft JhengHei" w:hAnsi="Microsoft JhengHei" w:eastAsia="Microsoft JhengHei" w:cs="Microsoft JhengHei"/>
      <w:b/>
      <w:bCs/>
      <w:sz w:val="30"/>
      <w:szCs w:val="30"/>
    </w:r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页眉 Char"/>
    <w:basedOn w:val="6"/>
    <w:link w:val="5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7">
    <w:name w:val="页脚 Char"/>
    <w:basedOn w:val="6"/>
    <w:link w:val="4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8">
    <w:name w:val="批注框文本 Char"/>
    <w:basedOn w:val="6"/>
    <w:link w:val="3"/>
    <w:semiHidden/>
    <w:uiPriority w:val="99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E2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35"/>
    <customShpInfo spid="_x0000_s1034"/>
    <customShpInfo spid="_x0000_s2086"/>
    <customShpInfo spid="_x0000_s20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8</Pages>
  <Words>326</Words>
  <Characters>1864</Characters>
  <Lines>15</Lines>
  <Paragraphs>4</Paragraphs>
  <TotalTime>74</TotalTime>
  <ScaleCrop>false</ScaleCrop>
  <LinksUpToDate>false</LinksUpToDate>
  <CharactersWithSpaces>2186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2018-12-14T08:15:00Z</dcterms:created>
  <dc:creator>马晓虎</dc:creator>
  <cp:lastModifiedBy>贾琪华</cp:lastModifiedBy>
  <dcterms:modified xsi:type="dcterms:W3CDTF">2019-01-24T03:47:08Z</dcterms:modified>
  <dc:title>全国职业院校技能大赛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2018-12-05T00:00:00Z</vt:filetime>
  </property>
  <property fmtid="{D5CDD505-2E9C-101B-9397-08002B2CF9AE}" pid="5" name="KSOProductBuildVer">
    <vt:lpwstr>2052-11.1.0.8214</vt:lpwstr>
  </property>
</Properties>
</file>