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黑体" w:eastAsia="方正小标宋简体"/>
          <w:color w:val="auto"/>
          <w:sz w:val="30"/>
          <w:szCs w:val="30"/>
        </w:rPr>
      </w:pPr>
      <w:r>
        <w:rPr>
          <w:rFonts w:hint="eastAsia" w:ascii="方正小标宋简体" w:hAnsi="黑体" w:eastAsia="方正小标宋简体"/>
          <w:color w:val="auto"/>
          <w:sz w:val="30"/>
          <w:szCs w:val="30"/>
        </w:rPr>
        <w:t>山西省职业院校技能大赛赛项规程编制规定</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华文楷体" w:hAnsi="华文楷体" w:eastAsia="华文楷体" w:cs="华文楷体"/>
          <w:color w:val="auto"/>
          <w:sz w:val="30"/>
          <w:szCs w:val="30"/>
        </w:rPr>
      </w:pPr>
      <w:r>
        <w:rPr>
          <w:rFonts w:hint="eastAsia" w:ascii="华文楷体" w:hAnsi="华文楷体" w:eastAsia="华文楷体" w:cs="华文楷体"/>
          <w:color w:val="auto"/>
          <w:sz w:val="30"/>
          <w:szCs w:val="30"/>
        </w:rPr>
        <w:t>(</w:t>
      </w:r>
      <w:r>
        <w:rPr>
          <w:rFonts w:hint="eastAsia" w:ascii="华文楷体" w:hAnsi="华文楷体" w:eastAsia="华文楷体" w:cs="华文楷体"/>
          <w:color w:val="auto"/>
          <w:sz w:val="30"/>
          <w:szCs w:val="30"/>
          <w:lang w:eastAsia="zh-CN"/>
        </w:rPr>
        <w:t>第</w:t>
      </w:r>
      <w:r>
        <w:rPr>
          <w:rFonts w:hint="eastAsia" w:ascii="华文楷体" w:hAnsi="华文楷体" w:eastAsia="华文楷体" w:cs="华文楷体"/>
          <w:color w:val="auto"/>
          <w:sz w:val="30"/>
          <w:szCs w:val="30"/>
          <w:lang w:val="en-US" w:eastAsia="zh-CN"/>
        </w:rPr>
        <w:t>2</w:t>
      </w:r>
      <w:r>
        <w:rPr>
          <w:rFonts w:hint="eastAsia" w:ascii="华文楷体" w:hAnsi="华文楷体" w:eastAsia="华文楷体" w:cs="华文楷体"/>
          <w:color w:val="auto"/>
          <w:sz w:val="30"/>
          <w:szCs w:val="30"/>
        </w:rPr>
        <w:t>稿)</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为贯彻公开、公平、公正的比赛原则，保证赛项的规范性和透明度，让参赛院校和选手全面、准确地了解竞赛项目，特制定赛项规程编制规定。</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一、赛项规程编制的基本依据</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赛项专家组在赛项执委会领导下，遵循大赛相关制度，以赛项方案申报书为基础，编制赛项规程。赛项专家组组长为赛项规程编制的第一责任人。</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二、赛项规程编制的基本原则</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赛项规程编制应遵循公开、公平和公正的原则，竞赛设计科学合理，内容阐述清晰详实。</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公开：赛项规程中能公开的内容都应公开，如竞赛内容与时间、竞赛方式、竞赛规则、竞赛环境、技术规范、技术平台、赛卷或赛题库、评分标准和方法等，让参赛队和参赛选手提前了解赛项。</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公平：赛项规程应充分体现公平，让各参赛队和参赛选手在同一平台、同等条件下公平竞赛。</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公正：在成绩评定与公布、裁判聘用与执裁、工作人员须知等方面，赛项规程应全面贯彻公正原则。</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赛项规程是赛项组织实施的依据。赛项规程发布后，因特殊情况需要变更，须经大赛组委会办公室批准。</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三、赛项规程编制的基本内容和要求</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（一）赛项名称。阐明赛项竞赛内容的专用名称。本条款中应具有赛项编号、赛项名称、赛项组别及赛项所属产业类别。</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（二）竞赛目的。围绕引领职业院校专业建设与课程改革，促进产教融合、校企合作、产业发展，展示职教改革成果及师生良好精神面貌等方面阐明赛项设计的目的和意义。</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三）竞赛内容。详细描述赛项涵盖的知识、技能，明确创新、创意的范围与方向。本条款中应对比赛时长、竞赛内容的组成与成绩比例作明确的规定。选择竞赛内容及确定成绩比例时，应体现选手职业精神，把握好竞赛成绩的区分度。</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（四）竞赛方式。详细描述组队方式，应明确是个人赛还是团体赛，是否邀请兄弟省份、国际团队参赛或观摩等。</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（五）竞赛流程。应用表格和流程图说明竞赛日程、比赛场次的安排及参赛选手（队伍）的竞技过程。</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（六）竞赛赛卷。说明公开竞赛赛卷的内容并附竞赛赛卷的样卷。</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七）竞赛规则。说明赛项的具体规定，应包括参赛选手报名、熟悉场地、正式比赛、成绩评定与公布等赛事活动中组织管理人员、选手、裁判、工作人员等应共同遵守的规定。竞赛规则应遵循大赛执委会公布的制度。</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（八）竞赛环境。详细说明竞赛环境（不含竞赛的技术规范和技术平台）。</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九）技术规范。指本赛项所属产业或覆盖行业中已经颁布实施、处在有效期内的标准与规范。引用的国际、国家、行业技术、职业资格标准与规范应书写完整的名称及代码；业内公认的设备使用与操作规范、操控人员应具备的基础技术、知识与技能、生产工艺等要求应作详细的描述。</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（十）技术平台。本赛项所用技术平台应详实描述设备的技术参数、工装器具的技术规格、软件版本号等信息。</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（十一）成绩评定。公开赛项评分标准和评分方式，赛项最终得分按百分制计分。</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赛项评分标准须科学、合理。阐述要全面、详细，应包括全部比赛环节，每个环节考核哪些知识点和技能点、每个知识点和技能点成绩如何评定等。评分标准与赛项的竞赛内容应完全一致。</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详细说明本赛项评分方式，包括裁判员人数、裁判评分方法、成绩产生方法、成绩审核方法、成绩公布方法等。成绩评定必须在公开、公平、公正、独立、透明的条件下进行。</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（十二）奖项设定。按照《山西省职业院校技能大赛制度汇编》中相关制度，阐述本赛项奖项设定方法，包括参赛选手奖励和指导教师奖励。</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（十三）赛项安全。阐述本赛项赛场组织与管理人员、裁判员、参赛人员等应注意的安全事项和应落实的安全措施。</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十四）竞赛须知。分别阐述本赛项参赛队、指导教师、参赛选手、工作人员等应注意的重点事项。对参赛队重点说明参赛学生是否需要购买保险，对指导教师重点说明带队和指导要求，对参赛选手重点说明比赛纪律和仪表仪容，对工作人员重点说明工作规范和纪律等。</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（十五）申诉与仲裁。按照《山西省职业院校技能大赛制度汇编》中相关制度，阐述本赛项对比赛过程中有失公正的现象或有关人员违规行为进行申诉和仲裁的方法。</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（十六）竞赛观摩。说明本赛项公开观摩的时间与形式，结合本赛项的特点提出观摩时应遵守的纪律等要求。所有赛项都应合理安排现场直播方式的公开观摩。</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（十七）竞赛直播。阐述本赛项从抽签加密开始，对比赛全过程、全方位直播的形式和方法。</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（十八）资源转化。依照《山西省职业院校技能大赛赛项资源转化工作办法》阐述本赛项资源转化的主要内容、方法途径、预期成果和完成时间。</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附件：山西省职业院校技能大赛赛项规程基本格式</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附件</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hAnsi="黑体" w:eastAsia="仿宋_GB2312"/>
          <w:color w:val="auto"/>
          <w:sz w:val="30"/>
          <w:szCs w:val="30"/>
        </w:rPr>
      </w:pPr>
      <w:r>
        <w:rPr>
          <w:rFonts w:hint="eastAsia" w:ascii="仿宋_GB2312" w:hAnsi="黑体" w:eastAsia="仿宋_GB2312"/>
          <w:color w:val="auto"/>
          <w:sz w:val="30"/>
          <w:szCs w:val="30"/>
        </w:rPr>
        <w:t>山西省职业院校技能大赛</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hAnsi="黑体" w:eastAsia="仿宋_GB2312"/>
          <w:color w:val="auto"/>
          <w:sz w:val="30"/>
          <w:szCs w:val="30"/>
        </w:rPr>
      </w:pPr>
      <w:r>
        <w:rPr>
          <w:rFonts w:hint="eastAsia" w:ascii="仿宋_GB2312" w:hAnsi="黑体" w:eastAsia="仿宋_GB2312"/>
          <w:color w:val="auto"/>
          <w:sz w:val="30"/>
          <w:szCs w:val="30"/>
        </w:rPr>
        <w:t>赛项规程</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一、赛项名称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 xml:space="preserve">赛项编号：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 xml:space="preserve">赛项名称：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 xml:space="preserve">赛项组别：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 xml:space="preserve">赛项归属产业：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二、竞赛目的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三、竞赛内容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四、竞赛方式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五、竞赛流程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六、竞赛赛卷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七、竞赛规则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八、竞赛环境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九、技术规范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十、技术平台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十一、成绩评定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十二、奖项设定</w:t>
      </w:r>
      <w:bookmarkStart w:id="0" w:name="_GoBack"/>
      <w:bookmarkEnd w:id="0"/>
      <w:r>
        <w:rPr>
          <w:rFonts w:hint="eastAsia" w:ascii="仿宋_GB2312" w:eastAsia="仿宋_GB2312" w:hAnsiTheme="minorEastAsia"/>
          <w:b/>
          <w:color w:val="auto"/>
          <w:sz w:val="30"/>
          <w:szCs w:val="30"/>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十三、赛项安全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color w:val="auto"/>
          <w:sz w:val="30"/>
          <w:szCs w:val="30"/>
        </w:rPr>
      </w:pPr>
      <w:r>
        <w:rPr>
          <w:rFonts w:hint="eastAsia" w:ascii="仿宋_GB2312" w:eastAsia="仿宋_GB2312" w:hAnsiTheme="minorEastAsia"/>
          <w:b/>
          <w:color w:val="auto"/>
          <w:sz w:val="30"/>
          <w:szCs w:val="30"/>
        </w:rPr>
        <w:t xml:space="preserve">十四、竞赛须知 </w:t>
      </w:r>
      <w:r>
        <w:rPr>
          <w:rFonts w:hint="eastAsia" w:ascii="仿宋_GB2312" w:eastAsia="仿宋_GB2312" w:hAnsiTheme="minorEastAsia"/>
          <w:color w:val="auto"/>
          <w:sz w:val="30"/>
          <w:szCs w:val="30"/>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1200" w:firstLineChars="4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 xml:space="preserve">（一）参赛队须知  </w:t>
      </w:r>
    </w:p>
    <w:p>
      <w:pPr>
        <w:keepNext w:val="0"/>
        <w:keepLines w:val="0"/>
        <w:pageBreakBefore w:val="0"/>
        <w:widowControl w:val="0"/>
        <w:kinsoku/>
        <w:wordWrap/>
        <w:overflowPunct/>
        <w:topLinePunct w:val="0"/>
        <w:autoSpaceDE/>
        <w:autoSpaceDN/>
        <w:bidi w:val="0"/>
        <w:adjustRightInd/>
        <w:snapToGrid/>
        <w:spacing w:line="480" w:lineRule="exact"/>
        <w:ind w:firstLine="1200" w:firstLineChars="4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 xml:space="preserve">（二）指导教师须知  </w:t>
      </w:r>
    </w:p>
    <w:p>
      <w:pPr>
        <w:keepNext w:val="0"/>
        <w:keepLines w:val="0"/>
        <w:pageBreakBefore w:val="0"/>
        <w:widowControl w:val="0"/>
        <w:kinsoku/>
        <w:wordWrap/>
        <w:overflowPunct/>
        <w:topLinePunct w:val="0"/>
        <w:autoSpaceDE/>
        <w:autoSpaceDN/>
        <w:bidi w:val="0"/>
        <w:adjustRightInd/>
        <w:snapToGrid/>
        <w:spacing w:line="480" w:lineRule="exact"/>
        <w:ind w:firstLine="1200" w:firstLineChars="4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 xml:space="preserve">（三）参赛选手须知  </w:t>
      </w:r>
    </w:p>
    <w:p>
      <w:pPr>
        <w:keepNext w:val="0"/>
        <w:keepLines w:val="0"/>
        <w:pageBreakBefore w:val="0"/>
        <w:widowControl w:val="0"/>
        <w:kinsoku/>
        <w:wordWrap/>
        <w:overflowPunct/>
        <w:topLinePunct w:val="0"/>
        <w:autoSpaceDE/>
        <w:autoSpaceDN/>
        <w:bidi w:val="0"/>
        <w:adjustRightInd/>
        <w:snapToGrid/>
        <w:spacing w:line="480" w:lineRule="exact"/>
        <w:ind w:firstLine="1200" w:firstLineChars="4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 xml:space="preserve">（四）工作人员须知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十五、申诉与仲裁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十六、竞赛观摩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 xml:space="preserve">十七、竞赛直播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color w:val="auto"/>
          <w:sz w:val="30"/>
          <w:szCs w:val="30"/>
        </w:rPr>
      </w:pPr>
      <w:r>
        <w:rPr>
          <w:rFonts w:hint="eastAsia" w:ascii="仿宋_GB2312" w:eastAsia="仿宋_GB2312" w:hAnsiTheme="minorEastAsia"/>
          <w:b/>
          <w:color w:val="auto"/>
          <w:sz w:val="30"/>
          <w:szCs w:val="30"/>
        </w:rPr>
        <w:t>十八、资源转化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A7B62"/>
    <w:rsid w:val="000A2BB2"/>
    <w:rsid w:val="00385CC5"/>
    <w:rsid w:val="004F701B"/>
    <w:rsid w:val="005C3BB1"/>
    <w:rsid w:val="005C5361"/>
    <w:rsid w:val="007D72CE"/>
    <w:rsid w:val="008C7089"/>
    <w:rsid w:val="009B2A6D"/>
    <w:rsid w:val="009C38CF"/>
    <w:rsid w:val="009E7597"/>
    <w:rsid w:val="00CB0542"/>
    <w:rsid w:val="00D277A1"/>
    <w:rsid w:val="00D470BC"/>
    <w:rsid w:val="00DE504D"/>
    <w:rsid w:val="00EA7B62"/>
    <w:rsid w:val="00FF5F12"/>
    <w:rsid w:val="2F1A5DF7"/>
    <w:rsid w:val="47720607"/>
    <w:rsid w:val="78B83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317</Words>
  <Characters>1808</Characters>
  <Lines>15</Lines>
  <Paragraphs>4</Paragraphs>
  <TotalTime>28</TotalTime>
  <ScaleCrop>false</ScaleCrop>
  <LinksUpToDate>false</LinksUpToDate>
  <CharactersWithSpaces>2121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2018-12-10T03:22:00Z</dcterms:created>
  <dc:creator>hp</dc:creator>
  <cp:lastModifiedBy>贾琪华</cp:lastModifiedBy>
  <cp:lastPrinted>2019-01-24T03:22:26Z</cp:lastPrinted>
  <dcterms:modified xsi:type="dcterms:W3CDTF">2019-01-24T03:23:48Z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