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仿宋" w:eastAsia="方正小标宋简体"/>
          <w:color w:val="auto"/>
          <w:sz w:val="30"/>
          <w:szCs w:val="30"/>
        </w:rPr>
      </w:pPr>
      <w:r>
        <w:rPr>
          <w:rFonts w:hint="eastAsia" w:ascii="方正小标宋简体" w:hAnsi="仿宋" w:eastAsia="方正小标宋简体"/>
          <w:color w:val="auto"/>
          <w:sz w:val="30"/>
          <w:szCs w:val="30"/>
        </w:rPr>
        <w:t>山西省职业院校技能大赛赛项申报与遴选管理办法</w:t>
      </w:r>
    </w:p>
    <w:p>
      <w:pPr>
        <w:keepNext w:val="0"/>
        <w:keepLines w:val="0"/>
        <w:pageBreakBefore w:val="0"/>
        <w:widowControl w:val="0"/>
        <w:kinsoku/>
        <w:wordWrap/>
        <w:overflowPunct/>
        <w:topLinePunct w:val="0"/>
        <w:autoSpaceDE/>
        <w:autoSpaceDN/>
        <w:bidi w:val="0"/>
        <w:adjustRightInd/>
        <w:snapToGrid/>
        <w:spacing w:after="312" w:afterLines="100" w:line="480" w:lineRule="exact"/>
        <w:jc w:val="center"/>
        <w:textAlignment w:val="auto"/>
        <w:rPr>
          <w:rFonts w:hint="eastAsia" w:ascii="华文楷体" w:hAnsi="华文楷体" w:eastAsia="华文楷体" w:cs="华文楷体"/>
          <w:color w:val="auto"/>
          <w:sz w:val="30"/>
          <w:szCs w:val="30"/>
        </w:rPr>
      </w:pPr>
      <w:r>
        <w:rPr>
          <w:rFonts w:hint="eastAsia" w:ascii="华文楷体" w:hAnsi="华文楷体" w:eastAsia="华文楷体" w:cs="华文楷体"/>
          <w:color w:val="auto"/>
          <w:sz w:val="30"/>
          <w:szCs w:val="30"/>
        </w:rPr>
        <w:t>(</w:t>
      </w:r>
      <w:r>
        <w:rPr>
          <w:rFonts w:hint="eastAsia" w:ascii="华文楷体" w:hAnsi="华文楷体" w:eastAsia="华文楷体" w:cs="华文楷体"/>
          <w:color w:val="auto"/>
          <w:sz w:val="30"/>
          <w:szCs w:val="30"/>
          <w:lang w:eastAsia="zh-CN"/>
        </w:rPr>
        <w:t>第</w:t>
      </w:r>
      <w:r>
        <w:rPr>
          <w:rFonts w:hint="eastAsia" w:ascii="华文楷体" w:hAnsi="华文楷体" w:eastAsia="华文楷体" w:cs="华文楷体"/>
          <w:color w:val="auto"/>
          <w:sz w:val="30"/>
          <w:szCs w:val="30"/>
          <w:lang w:val="en-US" w:eastAsia="zh-CN"/>
        </w:rPr>
        <w:t>2</w:t>
      </w:r>
      <w:r>
        <w:rPr>
          <w:rFonts w:hint="eastAsia" w:ascii="华文楷体" w:hAnsi="华文楷体" w:eastAsia="华文楷体" w:cs="华文楷体"/>
          <w:color w:val="auto"/>
          <w:sz w:val="30"/>
          <w:szCs w:val="30"/>
        </w:rPr>
        <w:t>稿)</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为进一步提升山西省职业院校技能大赛服务产业发展和专业建设的能力，强化赛事质量，规范赛项申报与遴选工作，特制定本办法。</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一、赛项申报基本要求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一）赛项申报单位应组织行业、企业研究机构和院校专家，组成赛项设计与申报专家组。其中，申报中职组赛项专家组中来自中职院校的专家不少于2名；申报高职组赛项专家组中来自高职院校的专家不少于2名。</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二）申报赛项选题要立足专业或专业群，竞赛内容要对接国家教学标准提出的有关专业或专业群综合核心技术技能和职业素养；要适应经济与产业发展需求，特别是我省战略性新兴产业、先进制造业、现代农业和现代服务业发展的需求。赛项选题应符合以下条件之一：</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1.服务全省战略的重点专业。</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2.面向职业院校办学布点多，在校生规模大的专业或专业群，原则上应布点在10个以上或本专业（群）全省在校生在1500人以上。</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3.传承中华优秀文化和传统手工艺的专业或专业群。</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4.关系国计民生急需的专业或专业群。</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5.对接全国技能大赛且适合全省职业院校技能大赛的赛项。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（三）同一申报单位不得申报比赛内容相近的多个方案；不同单位申报内容相近的赛项，遴选时按程序优化整合。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（四）申报赛项原则上不得同时设置团体赛和个人赛。鼓励申报单位申报团体赛赛项，在同等条件下优先遴选团体赛赛项。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二、赛项申报与遴选的条件</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（一）赛项申报单位为各职业院校，一般不包括技工学校。</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在以往大赛办赛过程中凡出现工作不到位、造成重大事故或存在违规违纪现象的单位，将取消其申报赛项资格，取消时限根据造成的影响及整顿情况而定。</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（二）赛项申报基本要求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1.赛项名称应根据比赛的内容或核心技术技能确定，不能以单一技能、工种名称直接命名赛项。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2.赛项须对应相关的职业岗位或岗位群，符合专业或行业标准、企业用人要求，竞赛方式应体现岗位对选手职业素养和操作技能的要求。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3.赛项须体现专业群的核心技能、核心知识、职业规范、职业精神与创新意识，能够检验参赛选手的综合职业能力。</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4.赛项涉及的职业岗位用人需求量大，各地职业院校专业点数量多。</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5.赛项建议使用的技术平台须成熟、可靠，通用性、兼容性良好，技术描述详尽，价格合理。</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三、赛项申报与遴选的流程</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（一）大赛组委会发布赛项征集通知。</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（二）申报单位成立赛项申报工作专家组，编制赛项申报书，并在规定时间内向大赛组委会办公室提交。</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（三）大赛组委会组织专家对申报方案进行专家评议，形成拟设赛项报批文件。</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（四）大赛组委会审批拟设赛项，审批通过后发布。</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四、赛项方案申报书的基本内容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赛项方案申报书是赛项组织实施的详细设计方案，各赛项申报工作专家组按照赛项方案申报书的基本要求，科学设计、规范撰写赛项方案申报书。</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赛项申报书按下列格式撰写：</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r>
        <w:rPr>
          <w:rFonts w:hint="eastAsia" w:ascii="仿宋" w:hAnsi="仿宋" w:eastAsia="仿宋"/>
          <w:color w:val="auto"/>
          <w:sz w:val="30"/>
          <w:szCs w:val="30"/>
        </w:rPr>
        <w:t>封面格式：</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山西省职业院校技能大赛</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赛项申报书</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赛项名称：</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 xml:space="preserve">赛项性质：新增赛项□ 已有赛项□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 xml:space="preserve">赛项组别：中职组□ 高职组□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接轨国赛：是□ 否□</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专业大类/类：</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方案设计专家组组长：</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电话号码：</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方案申报单位（盖章）：</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 xml:space="preserve">方案申报负责人：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方案申报单位联络人：</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联络人电话：</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电子邮箱：</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通讯地址：</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邮政编码：</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申报日期：</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r>
        <w:rPr>
          <w:rFonts w:hint="eastAsia" w:ascii="仿宋" w:hAnsi="仿宋" w:eastAsia="仿宋"/>
          <w:color w:val="auto"/>
          <w:sz w:val="30"/>
          <w:szCs w:val="30"/>
        </w:rPr>
        <w:t>内容要求：</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方正小标宋简体" w:hAnsi="仿宋" w:eastAsia="方正小标宋简体"/>
          <w:color w:val="auto"/>
          <w:sz w:val="30"/>
          <w:szCs w:val="30"/>
        </w:rPr>
      </w:pPr>
      <w:r>
        <w:rPr>
          <w:rFonts w:hint="eastAsia" w:ascii="方正小标宋简体" w:hAnsi="仿宋" w:eastAsia="方正小标宋简体"/>
          <w:color w:val="auto"/>
          <w:sz w:val="30"/>
          <w:szCs w:val="30"/>
        </w:rPr>
        <w:t>山西省职业院校技能大赛</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方正小标宋简体" w:hAnsi="仿宋" w:eastAsia="方正小标宋简体"/>
          <w:color w:val="auto"/>
          <w:sz w:val="30"/>
          <w:szCs w:val="30"/>
        </w:rPr>
      </w:pPr>
      <w:r>
        <w:rPr>
          <w:rFonts w:hint="eastAsia" w:ascii="方正小标宋简体" w:hAnsi="仿宋" w:eastAsia="方正小标宋简体"/>
          <w:color w:val="auto"/>
          <w:sz w:val="30"/>
          <w:szCs w:val="30"/>
        </w:rPr>
        <w:t>赛项申报方案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 xml:space="preserve">一、赛项名称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 w:hAnsi="仿宋" w:eastAsia="仿宋"/>
          <w:b/>
          <w:color w:val="auto"/>
          <w:sz w:val="30"/>
          <w:szCs w:val="30"/>
        </w:rPr>
      </w:pPr>
      <w:r>
        <w:rPr>
          <w:rFonts w:hint="eastAsia" w:ascii="仿宋" w:hAnsi="仿宋" w:eastAsia="仿宋"/>
          <w:b/>
          <w:color w:val="auto"/>
          <w:sz w:val="30"/>
          <w:szCs w:val="30"/>
        </w:rPr>
        <w:t xml:space="preserve">（一）赛项名称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应根据比赛的内容或核心技术或技能确定赛项名称，不能以单一技能、工种名称直接命名。</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（二）压题彩照</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一张反映赛项特点的彩色照片，照片像素不少于 3264×2488。</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 xml:space="preserve">（三）赛项归属产业类型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（四）赛项归属专业大类及专业</w:t>
      </w:r>
    </w:p>
    <w:tbl>
      <w:tblPr>
        <w:tblStyle w:val="6"/>
        <w:tblW w:w="8272" w:type="dxa"/>
        <w:tblInd w:w="25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54"/>
        <w:gridCol w:w="1704"/>
        <w:gridCol w:w="1704"/>
        <w:gridCol w:w="1705"/>
        <w:gridCol w:w="170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5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组别</w:t>
            </w:r>
          </w:p>
        </w:tc>
        <w:tc>
          <w:tcPr>
            <w:tcW w:w="170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专业大类</w:t>
            </w:r>
          </w:p>
        </w:tc>
        <w:tc>
          <w:tcPr>
            <w:tcW w:w="170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专业类</w:t>
            </w:r>
          </w:p>
        </w:tc>
        <w:tc>
          <w:tcPr>
            <w:tcW w:w="1705"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专业代码</w:t>
            </w:r>
          </w:p>
        </w:tc>
        <w:tc>
          <w:tcPr>
            <w:tcW w:w="1705"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专业名称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5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高职</w:t>
            </w:r>
          </w:p>
        </w:tc>
        <w:tc>
          <w:tcPr>
            <w:tcW w:w="170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70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705"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705"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bl>
      <w:tblPr>
        <w:tblStyle w:val="6"/>
        <w:tblW w:w="8222" w:type="dxa"/>
        <w:tblInd w:w="25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54"/>
        <w:gridCol w:w="2232"/>
        <w:gridCol w:w="1984"/>
        <w:gridCol w:w="255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5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组别</w:t>
            </w:r>
          </w:p>
        </w:tc>
        <w:tc>
          <w:tcPr>
            <w:tcW w:w="2232"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专业类</w:t>
            </w:r>
          </w:p>
        </w:tc>
        <w:tc>
          <w:tcPr>
            <w:tcW w:w="198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专业代码</w:t>
            </w:r>
          </w:p>
        </w:tc>
        <w:tc>
          <w:tcPr>
            <w:tcW w:w="2552"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专业名称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45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中职</w:t>
            </w:r>
          </w:p>
        </w:tc>
        <w:tc>
          <w:tcPr>
            <w:tcW w:w="2232"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98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2552"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r>
        <w:rPr>
          <w:rFonts w:hint="eastAsia" w:ascii="仿宋" w:hAnsi="仿宋" w:eastAsia="仿宋"/>
          <w:color w:val="auto"/>
          <w:sz w:val="30"/>
          <w:szCs w:val="30"/>
        </w:rPr>
        <w:t>注：请按现行的《普通高等学校高等职业教育（专科）专业目录》和《中等职业学校专业目录》标准，明确赛项对应的专业类别、代码及名称。</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二、赛项申报专家组</w:t>
      </w:r>
    </w:p>
    <w:tbl>
      <w:tblPr>
        <w:tblStyle w:val="6"/>
        <w:tblW w:w="8414"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1276"/>
        <w:gridCol w:w="1134"/>
        <w:gridCol w:w="1499"/>
        <w:gridCol w:w="910"/>
        <w:gridCol w:w="1526"/>
        <w:gridCol w:w="121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1"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姓名</w:t>
            </w:r>
          </w:p>
        </w:tc>
        <w:tc>
          <w:tcPr>
            <w:tcW w:w="127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单位</w:t>
            </w:r>
          </w:p>
        </w:tc>
        <w:tc>
          <w:tcPr>
            <w:tcW w:w="113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w:t>
            </w:r>
          </w:p>
        </w:tc>
        <w:tc>
          <w:tcPr>
            <w:tcW w:w="1499"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职务/职称</w:t>
            </w:r>
          </w:p>
        </w:tc>
        <w:tc>
          <w:tcPr>
            <w:tcW w:w="910"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年龄</w:t>
            </w:r>
          </w:p>
        </w:tc>
        <w:tc>
          <w:tcPr>
            <w:tcW w:w="152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手机号码</w:t>
            </w:r>
          </w:p>
        </w:tc>
        <w:tc>
          <w:tcPr>
            <w:tcW w:w="1218"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邮箱</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851"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27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13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499"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910"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52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218"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1"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27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134"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499"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910"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526"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c>
          <w:tcPr>
            <w:tcW w:w="1218"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r>
        <w:rPr>
          <w:rFonts w:hint="eastAsia" w:ascii="仿宋" w:hAnsi="仿宋" w:eastAsia="仿宋"/>
          <w:color w:val="auto"/>
          <w:sz w:val="30"/>
          <w:szCs w:val="30"/>
        </w:rPr>
        <w:t>注：赛项申报专家组成员须经本人同意。</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三、赛项目的</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围绕引领职业院校专业建设与课程改革，促进产教融合、校企合作、产业发展，展示职教改革成果及师生良好精神面貌等方面阐明赛项设计的目的和意义。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 xml:space="preserve">四、赛项设计原则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（一）公开、公平、公正；</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（二）赛项关联专业人才需求量大或行业人才紧缺或职业院校开设专业点多，服务国家重点战略；</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（三）竞赛内容对应相关职业岗位或岗位群、体现专业核心能力与核心知识、涵盖丰富的专业知识与专业技能点；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（四）竞赛平台成熟。根据行业特点，赛项选择相对先进、通用性强、社会保有量高的设备与软件。</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五、赛项方案的特色与创新点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应在竞赛内容选择、竞赛过程安排、竞赛结果评判、竞赛资源转化等方面形成赛项的特色与创新点。</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六、竞赛内容简介</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概述竞赛内容，并侧重于核心技能的描述（不超过500字）。</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黑体" w:hAnsi="黑体" w:eastAsia="黑体"/>
          <w:color w:val="auto"/>
          <w:sz w:val="30"/>
          <w:szCs w:val="30"/>
        </w:rPr>
        <w:t>七、竞赛方式</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竞赛方式应明确是团体赛还是个人赛。组队方式应参考《山西省职业院校技能大赛参赛管理办法》的有关要求。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八、竞赛时间安排与流程</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应用表格或流程图简洁、明确地说明竞赛日程与流程安排。</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九、竞赛赛卷</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申报赛项应提供样卷。</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十、评分标准制定原则、评分方法、评分细则</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参照《山西省职业院校技能大赛成绩管理办法》的相关要求，根据申报赛项自身的特点，选定具有较强操作性的评分方法，编制评分细则。</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十一、奖项设置</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参照执行《山西省职业院校技能大赛奖惩办法》的有关规定。</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 xml:space="preserve">十二、技术规范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参照《山西省职业院校技能大赛赛项规程编制要求》，列出竞赛内容涉及技术规范的全部信息，包括相关的专业教育教学要求，行业、职业技术标准等。</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十三、使用的比赛器材、技术平台和场地要求</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提供赛项所需的技术平台，包括参考硬件和软件信息、参考机器设备信息、参考工具器具信息等，要保证赛项所需技术平台的稳定性。要对竞赛赛场环境、赛位设置、单位赛位大小、安全防范措施等，描述具体、明确。</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 xml:space="preserve">十四、安全保障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参照《山西省职业院校技能大赛安全管理规定》的有关要求，依据申报赛项自身特点，明确所需的安全保障措施。</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十五、经费概算</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参照《山西省职业院校技能大赛经费管理暂行办法》的有关要求，制定赛项经费概算。</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十六、比赛组织与管理</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参照《山西省职业院校技能大赛组织机构与职能分工》《山西省职业院校技能大赛赛项设备与设施管理办法》《山西省职业院校技能大赛赛项监督与仲裁管理办法》等，明确主要组织单位、协办单位的任务分工和各单位工作职责，制定操作性强的赛项竞赛组织与管理方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十七、教学资源转化建设方案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参照《山西省职业院校技能大赛赛项资源转化工作办法》的有  关要求，制定赛项赛后教学资源转化方案。</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十八、筹备工作进度时间表</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依据赛项筹备工作，制定筹备工作时间进度表。</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十九、裁判人员建议</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参照《山西省职业院校技能大赛专家和裁判工作管理办法》的  有关要求，详细列出赛项所需现场裁判和评分裁判的具体要求。</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1843"/>
        <w:gridCol w:w="1984"/>
        <w:gridCol w:w="2835"/>
        <w:gridCol w:w="9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序号</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专业技术方向</w:t>
            </w:r>
          </w:p>
        </w:tc>
        <w:tc>
          <w:tcPr>
            <w:tcW w:w="1984"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知识能力要求</w:t>
            </w:r>
          </w:p>
        </w:tc>
        <w:tc>
          <w:tcPr>
            <w:tcW w:w="283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专业技术职称</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（职业资格等级）</w:t>
            </w:r>
          </w:p>
        </w:tc>
        <w:tc>
          <w:tcPr>
            <w:tcW w:w="901"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95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184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1984"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2835"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901"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95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184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1984"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2835"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901"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54" w:hRule="exact"/>
        </w:trPr>
        <w:tc>
          <w:tcPr>
            <w:tcW w:w="959"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1843"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1984"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2835"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c>
          <w:tcPr>
            <w:tcW w:w="901" w:type="dxa"/>
          </w:tcPr>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 w:hAnsi="仿宋" w:eastAsia="仿宋"/>
                <w:color w:val="auto"/>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9" w:type="dxa"/>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r>
              <w:rPr>
                <w:rFonts w:hint="eastAsia" w:ascii="仿宋" w:hAnsi="仿宋" w:eastAsia="仿宋"/>
                <w:color w:val="auto"/>
                <w:sz w:val="30"/>
                <w:szCs w:val="30"/>
              </w:rPr>
              <w:t>裁判总人数</w:t>
            </w:r>
          </w:p>
        </w:tc>
        <w:tc>
          <w:tcPr>
            <w:tcW w:w="7563" w:type="dxa"/>
            <w:gridSpan w:val="4"/>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 w:hAnsi="仿宋" w:eastAsia="仿宋"/>
                <w:color w:val="auto"/>
                <w:sz w:val="30"/>
                <w:szCs w:val="30"/>
              </w:rPr>
            </w:pPr>
          </w:p>
        </w:tc>
      </w:tr>
    </w:tbl>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 xml:space="preserve">二十、赛题公开承诺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各赛项于开赛 1 个月前，在大赛网络信息发布平台上  （</w:t>
      </w:r>
      <w:r>
        <w:rPr>
          <w:rFonts w:ascii="仿宋" w:hAnsi="仿宋" w:eastAsia="仿宋"/>
          <w:color w:val="auto"/>
          <w:sz w:val="30"/>
          <w:szCs w:val="30"/>
        </w:rPr>
        <w:t>http://www.sxve.net/</w:t>
      </w:r>
      <w:r>
        <w:rPr>
          <w:rFonts w:hint="eastAsia" w:ascii="仿宋" w:hAnsi="仿宋" w:eastAsia="仿宋"/>
          <w:color w:val="auto"/>
          <w:sz w:val="30"/>
          <w:szCs w:val="30"/>
        </w:rPr>
        <w:t>）发布赛卷或赛题库。</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二十一、其他</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申报赛项未尽内容的描述或说明，也可附页补充。</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 w:hAnsi="仿宋" w:eastAsia="仿宋"/>
          <w:color w:val="auto"/>
          <w:sz w:val="30"/>
          <w:szCs w:val="30"/>
        </w:rPr>
      </w:pPr>
      <w:r>
        <w:rPr>
          <w:rFonts w:hint="eastAsia" w:ascii="仿宋" w:hAnsi="仿宋" w:eastAsia="仿宋"/>
          <w:color w:val="auto"/>
          <w:sz w:val="30"/>
          <w:szCs w:val="30"/>
        </w:rPr>
        <w:t>申报单位应明确专职联络人员及其手机号码、邮箱等联系方式。专职联络人员应对赛项申报工作熟悉并具有强烈的工作责任感和良好的保密意识。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2054"/>
    <w:rsid w:val="00026062"/>
    <w:rsid w:val="00060C2B"/>
    <w:rsid w:val="00064ED9"/>
    <w:rsid w:val="00125A63"/>
    <w:rsid w:val="0014407E"/>
    <w:rsid w:val="001A745B"/>
    <w:rsid w:val="001B5C27"/>
    <w:rsid w:val="00244B57"/>
    <w:rsid w:val="002C2479"/>
    <w:rsid w:val="003278EA"/>
    <w:rsid w:val="00387E63"/>
    <w:rsid w:val="003D7105"/>
    <w:rsid w:val="00401575"/>
    <w:rsid w:val="00422E3D"/>
    <w:rsid w:val="004533A4"/>
    <w:rsid w:val="00496497"/>
    <w:rsid w:val="004E2054"/>
    <w:rsid w:val="004E5D2B"/>
    <w:rsid w:val="004F51CF"/>
    <w:rsid w:val="00594533"/>
    <w:rsid w:val="005B21DC"/>
    <w:rsid w:val="006277CC"/>
    <w:rsid w:val="00710D52"/>
    <w:rsid w:val="007176A9"/>
    <w:rsid w:val="00762A22"/>
    <w:rsid w:val="00796BA5"/>
    <w:rsid w:val="00800F32"/>
    <w:rsid w:val="00850EDE"/>
    <w:rsid w:val="008828BD"/>
    <w:rsid w:val="008867DC"/>
    <w:rsid w:val="00993DED"/>
    <w:rsid w:val="00AA3D88"/>
    <w:rsid w:val="00AB45AC"/>
    <w:rsid w:val="00B23970"/>
    <w:rsid w:val="00B50437"/>
    <w:rsid w:val="00B62C09"/>
    <w:rsid w:val="00B63C20"/>
    <w:rsid w:val="00BC5BD8"/>
    <w:rsid w:val="00BD15E2"/>
    <w:rsid w:val="00C0420D"/>
    <w:rsid w:val="00C33D74"/>
    <w:rsid w:val="00C66EA6"/>
    <w:rsid w:val="00CA4673"/>
    <w:rsid w:val="00CB22A2"/>
    <w:rsid w:val="00CE2788"/>
    <w:rsid w:val="00D45701"/>
    <w:rsid w:val="00DB50E0"/>
    <w:rsid w:val="00DC33BB"/>
    <w:rsid w:val="00DE0347"/>
    <w:rsid w:val="00E15A92"/>
    <w:rsid w:val="00E334B0"/>
    <w:rsid w:val="00EB316C"/>
    <w:rsid w:val="00EC61EA"/>
    <w:rsid w:val="00FB310F"/>
    <w:rsid w:val="00FC2197"/>
    <w:rsid w:val="1E44040B"/>
    <w:rsid w:val="262E2F66"/>
    <w:rsid w:val="2E2E24C6"/>
    <w:rsid w:val="4D344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460</Words>
  <Characters>2623</Characters>
  <Lines>21</Lines>
  <Paragraphs>6</Paragraphs>
  <TotalTime>148</TotalTime>
  <ScaleCrop>false</ScaleCrop>
  <LinksUpToDate>false</LinksUpToDate>
  <CharactersWithSpaces>3077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2018-12-10T02:33:00Z</dcterms:created>
  <dc:creator>hp</dc:creator>
  <cp:lastModifiedBy>贾琪华</cp:lastModifiedBy>
  <dcterms:modified xsi:type="dcterms:W3CDTF">2019-01-24T03:20:31Z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